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C7C7BC">
      <w:pPr>
        <w:jc w:val="both"/>
        <w:rPr>
          <w:rFonts w:hint="eastAsia" w:ascii="CESI黑体-GB2312" w:hAnsi="CESI黑体-GB2312" w:eastAsia="CESI黑体-GB2312" w:cs="CESI黑体-GB2312"/>
          <w:b/>
          <w:bCs/>
          <w:sz w:val="44"/>
          <w:szCs w:val="44"/>
        </w:rPr>
      </w:pPr>
    </w:p>
    <w:p w14:paraId="3F986C5B">
      <w:pPr>
        <w:ind w:firstLine="442" w:firstLineChars="100"/>
        <w:jc w:val="center"/>
        <w:rPr>
          <w:rFonts w:hint="eastAsia" w:ascii="CESI黑体-GB2312" w:hAnsi="CESI黑体-GB2312" w:eastAsia="CESI黑体-GB2312" w:cs="CESI黑体-GB2312"/>
          <w:b/>
          <w:bCs/>
          <w:sz w:val="44"/>
          <w:szCs w:val="44"/>
        </w:rPr>
      </w:pPr>
    </w:p>
    <w:p w14:paraId="006051D0">
      <w:pPr>
        <w:ind w:firstLine="442" w:firstLineChars="100"/>
        <w:jc w:val="center"/>
        <w:rPr>
          <w:rFonts w:hint="eastAsia" w:ascii="CESI黑体-GB2312" w:hAnsi="CESI黑体-GB2312" w:eastAsia="CESI黑体-GB2312" w:cs="CESI黑体-GB2312"/>
          <w:b/>
          <w:bCs/>
          <w:sz w:val="44"/>
          <w:szCs w:val="44"/>
        </w:rPr>
      </w:pPr>
    </w:p>
    <w:p w14:paraId="1A017B6A">
      <w:pPr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平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发改</w:t>
      </w:r>
      <w:r>
        <w:rPr>
          <w:rFonts w:hint="eastAsia" w:ascii="仿宋_GB2312" w:eastAsia="仿宋_GB2312"/>
          <w:sz w:val="32"/>
          <w:szCs w:val="32"/>
        </w:rPr>
        <w:t>函〔2026〕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</w:t>
      </w:r>
      <w:r>
        <w:rPr>
          <w:rFonts w:hint="eastAsia" w:ascii="仿宋_GB2312" w:eastAsia="仿宋_GB2312"/>
          <w:sz w:val="32"/>
          <w:szCs w:val="32"/>
        </w:rPr>
        <w:t>号</w:t>
      </w:r>
    </w:p>
    <w:p w14:paraId="648CE520">
      <w:pPr>
        <w:ind w:firstLine="442" w:firstLineChars="100"/>
        <w:jc w:val="center"/>
        <w:rPr>
          <w:rFonts w:hint="eastAsia" w:ascii="CESI黑体-GB2312" w:hAnsi="CESI黑体-GB2312" w:eastAsia="CESI黑体-GB2312" w:cs="CESI黑体-GB2312"/>
          <w:b/>
          <w:bCs/>
          <w:sz w:val="44"/>
          <w:szCs w:val="44"/>
        </w:rPr>
      </w:pPr>
    </w:p>
    <w:p w14:paraId="16B55D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2" w:firstLineChars="100"/>
        <w:jc w:val="center"/>
        <w:textAlignment w:val="auto"/>
        <w:rPr>
          <w:rFonts w:hint="eastAsia" w:ascii="CESI黑体-GB2312" w:hAnsi="CESI黑体-GB2312" w:eastAsia="CESI黑体-GB2312" w:cs="CESI黑体-GB2312"/>
          <w:b/>
          <w:bCs/>
          <w:sz w:val="44"/>
          <w:szCs w:val="44"/>
        </w:rPr>
      </w:pPr>
      <w:r>
        <w:rPr>
          <w:rFonts w:hint="eastAsia" w:ascii="CESI黑体-GB2312" w:hAnsi="CESI黑体-GB2312" w:eastAsia="CESI黑体-GB2312" w:cs="CESI黑体-GB2312"/>
          <w:b/>
          <w:bCs/>
          <w:sz w:val="44"/>
          <w:szCs w:val="44"/>
        </w:rPr>
        <w:t>平顺县发展改革和科学技术局</w:t>
      </w:r>
    </w:p>
    <w:p w14:paraId="F8A29E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2" w:firstLineChars="100"/>
        <w:jc w:val="center"/>
        <w:textAlignment w:val="auto"/>
        <w:rPr>
          <w:rFonts w:hint="eastAsia" w:ascii="CESI黑体-GB2312" w:hAnsi="CESI黑体-GB2312" w:eastAsia="CESI黑体-GB2312" w:cs="CESI黑体-GB2312"/>
          <w:b/>
          <w:bCs/>
          <w:sz w:val="44"/>
          <w:szCs w:val="44"/>
        </w:rPr>
      </w:pPr>
      <w:r>
        <w:rPr>
          <w:rFonts w:hint="eastAsia" w:ascii="CESI黑体-GB2312" w:hAnsi="CESI黑体-GB2312" w:eastAsia="CESI黑体-GB2312" w:cs="CESI黑体-GB2312"/>
          <w:b/>
          <w:bCs/>
          <w:sz w:val="44"/>
          <w:szCs w:val="44"/>
        </w:rPr>
        <w:t>2025年度法治政府建设工作报告</w:t>
      </w:r>
    </w:p>
    <w:p w14:paraId="780DC1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  <w:r>
        <w:t xml:space="preserve"> </w:t>
      </w:r>
    </w:p>
    <w:p w14:paraId="A7D99A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2025年，平顺县发改局深入贯彻习近平法治思想，严格落实《法治政府建设实施纲要（2021—2025年）》及省、市、县委法治建设部署，紧扣项目审批、粮食安全、价格监管、营商环境、能源管道监管五大核心职能，坚持法治建设与经济发展同谋划、同部署、同考核，健全制度、规范执法、精准普法、强化监督，全面提升发改领域依法行政水平，为全县高质量发展筑牢法治保障。现将全年工作举措与成效报告如下：</w:t>
      </w:r>
    </w:p>
    <w:p w14:paraId="A2C595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一、压实组织责任，构建闭环法治工作体系</w:t>
      </w:r>
    </w:p>
    <w:p w14:paraId="3DE3CC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是健全领导机制。成立由党组书记、局长任组长的法治建设领导小组，明确主要负责人履行法治建设第一责任人职责，分管副局长牵头抓总，投资、粮食、价格、能源各股室分工落实，全年召开法治专题党组会4次，制定《2025年度法治建设工作要点》，细化22项法治任务清单，将法治成效纳入干部年度绩效考核 。</w:t>
      </w:r>
    </w:p>
    <w:p w14:paraId="BF61FA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是落实领导述法制度。班子成员每季度开展学法述法，年末向全局干部、县委依法治县办专题报告依法履职情况，全年主要负责人主持法治专题学习6次，带头研究项目合法性审查、价格纠纷化解等法治难点问题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sz w:val="32"/>
          <w:szCs w:val="32"/>
        </w:rPr>
        <w:t>件。</w:t>
      </w:r>
    </w:p>
    <w:p w14:paraId="1F0281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三是配齐法治工作力量。全局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工作</w:t>
      </w:r>
      <w:r>
        <w:rPr>
          <w:rFonts w:hint="eastAsia" w:ascii="仿宋" w:hAnsi="仿宋" w:eastAsia="仿宋" w:cs="仿宋"/>
          <w:sz w:val="32"/>
          <w:szCs w:val="32"/>
        </w:rPr>
        <w:t>人员全部完成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相关法律法规培训</w:t>
      </w:r>
      <w:r>
        <w:rPr>
          <w:rFonts w:hint="eastAsia" w:ascii="仿宋" w:hAnsi="仿宋" w:eastAsia="仿宋" w:cs="仿宋"/>
          <w:sz w:val="32"/>
          <w:szCs w:val="32"/>
        </w:rPr>
        <w:t>，建立“业务股室初审+法规专员复审+法律顾问终审”三级合法性审查机制，实现重大事项法律审核全覆盖。</w:t>
      </w:r>
    </w:p>
    <w:p w14:paraId="2A67A4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二、深化学法普法，全面提升干部群众法治素养</w:t>
      </w:r>
    </w:p>
    <w:p w14:paraId="ACB8E9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（一）常态化开展机关学法，夯实依法行政根基</w:t>
      </w:r>
    </w:p>
    <w:p w14:paraId="210922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制定年度干部学法计划，建立“中心组领学、会前微学法、线上考学、案例研学”四维学习模式。全年组织集中学法12次，重点学习《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招投标法</w:t>
      </w:r>
      <w:r>
        <w:rPr>
          <w:rFonts w:hint="eastAsia" w:ascii="仿宋" w:hAnsi="仿宋" w:eastAsia="仿宋" w:cs="仿宋"/>
          <w:sz w:val="32"/>
          <w:szCs w:val="32"/>
        </w:rPr>
        <w:t>》《粮食安全保障法》《价格法》《山西省优化营商环境条例》等行业法规；围绕招投标违法、违规典型案例开展以案释法警示教育3次，切实纠正重业务、轻法治思维短板，干部依法办事专业能力显著提升。</w:t>
      </w:r>
    </w:p>
    <w:p w14:paraId="0C25EA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（二）分层分类精准普法，营造法治营商氛围</w:t>
      </w:r>
    </w:p>
    <w:p w14:paraId="0E6044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紧扣“八五”普法收官节点，结合4·15国家安全日、12·4宪法日、粮食安全宣传周开展线下普法活动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场。深入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13</w:t>
      </w:r>
      <w:r>
        <w:rPr>
          <w:rFonts w:hint="eastAsia" w:ascii="仿宋" w:hAnsi="仿宋" w:eastAsia="仿宋" w:cs="仿宋"/>
          <w:sz w:val="32"/>
          <w:szCs w:val="32"/>
        </w:rPr>
        <w:t>家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光伏</w:t>
      </w:r>
      <w:r>
        <w:rPr>
          <w:rFonts w:hint="eastAsia" w:ascii="仿宋" w:hAnsi="仿宋" w:eastAsia="仿宋" w:cs="仿宋"/>
          <w:sz w:val="32"/>
          <w:szCs w:val="32"/>
        </w:rPr>
        <w:t>企业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发放</w:t>
      </w:r>
      <w:r>
        <w:rPr>
          <w:rFonts w:hint="eastAsia" w:ascii="仿宋" w:hAnsi="仿宋" w:eastAsia="仿宋" w:cs="仿宋"/>
          <w:sz w:val="32"/>
          <w:szCs w:val="32"/>
        </w:rPr>
        <w:t>惠企政策、民生价格、粮食保供普法手册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等</w:t>
      </w:r>
      <w:r>
        <w:rPr>
          <w:rFonts w:hint="eastAsia" w:ascii="仿宋" w:hAnsi="仿宋" w:eastAsia="仿宋" w:cs="仿宋"/>
          <w:sz w:val="32"/>
          <w:szCs w:val="32"/>
        </w:rPr>
        <w:t>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00余份。针对光伏新能源、中药材加工等县域主导产业项目企业，解读投资备案、节能审查、管道安全法律规范；面向群众开展水电气收费、停车收费价格普法，现场化解群众价格咨询、做到普法与矛盾化解一体推进。同时依托政务公开栏、单位微信工作群推送法治短视频、政策解读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12</w:t>
      </w:r>
      <w:r>
        <w:rPr>
          <w:rFonts w:hint="eastAsia" w:ascii="仿宋" w:hAnsi="仿宋" w:eastAsia="仿宋" w:cs="仿宋"/>
          <w:sz w:val="32"/>
          <w:szCs w:val="32"/>
        </w:rPr>
        <w:t>条，拓宽线上普法渠道。</w:t>
      </w:r>
    </w:p>
    <w:p w14:paraId="222E6A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三、规范行政履职，以法治护航县域经济发展</w:t>
      </w:r>
    </w:p>
    <w:p w14:paraId="7A3E91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（一）严格重大行政决策法定流程</w:t>
      </w:r>
    </w:p>
    <w:p w14:paraId="965887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严格执行重大决策“公众参与、专家论证、风险评估、合法性审查、集体讨论”五步程序。2025年全县谋划重点项目130个、总投资249.8亿元，其中28.77亿元集中开工招商引资项目全部履行法律风险评估，全年完成政府投资、产业扶持、价格调控等重大事项合法性审查16件，开展粮食安全、油气管道安全生产风险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次；落实公平竞争审查制度，全年审查规范性文件、惠企政策34件，清理妨碍市场公平条款2项，杜绝歧视民营企业、地方保护等违规条款，保障各类市场主体平等发展权利。</w:t>
      </w:r>
    </w:p>
    <w:p w14:paraId="71F5F9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（二）规范行政执法，推行柔性文明监管</w:t>
      </w:r>
    </w:p>
    <w:p w14:paraId="612E7F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全面落实行政执法三项制度制定粮食、价格、能源领域执法检查清单，全年开展“双随机、一公开”执法检查38次，覆盖粮油储备库、光伏电站、长输管道企业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15</w:t>
      </w:r>
      <w:r>
        <w:rPr>
          <w:rFonts w:hint="eastAsia" w:ascii="仿宋" w:hAnsi="仿宋" w:eastAsia="仿宋" w:cs="仿宋"/>
          <w:sz w:val="32"/>
          <w:szCs w:val="32"/>
        </w:rPr>
        <w:t>家，执法文书统一归档管理。对企业台账不规范、节能资料缺失等轻微问题采取提醒、责令整改替代处罚，全年适用柔性执法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13</w:t>
      </w:r>
      <w:r>
        <w:rPr>
          <w:rFonts w:hint="eastAsia" w:ascii="仿宋" w:hAnsi="仿宋" w:eastAsia="仿宋" w:cs="仿宋"/>
          <w:sz w:val="32"/>
          <w:szCs w:val="32"/>
        </w:rPr>
        <w:t>次，减轻企业制度性成本；严厉查处哄抬物价、粮食购销台账造假等违法行为，依法依规下达整改文书，做到宽严相济、执法有度。</w:t>
      </w:r>
    </w:p>
    <w:p w14:paraId="9E9EED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（三）依法优化营商环境，规范项目审批</w:t>
      </w:r>
    </w:p>
    <w:p w14:paraId="8405D7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依托政务服务大厅落实投资审批“一网通办”，全面推行告知承诺制，精简项目备案、节能审查申报材料，整体审批时限压缩60%。落实项目“保姆式”代办机制，依法简化民营企业投资流程，2025年全程代办中药材加工、乡村文旅等产业项目手续，严格区分政府投资与企业自主投资边界，杜绝越权审批、违规干预市场行为，以法治稳定企业投资预期</w:t>
      </w:r>
    </w:p>
    <w:p w14:paraId="8DBFAF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四、健全监督机制，筑牢权力运行法治防线</w:t>
      </w:r>
    </w:p>
    <w:p w14:paraId="D6A53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一是主动接受外部监督。全年办理人大建议2件、政协提案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件，全部依法答复办结；畅通12315价格投诉、政务热线渠道，受理群众涉价，群众满意度98%以上。</w:t>
      </w:r>
    </w:p>
    <w:p w14:paraId="28647E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二是强化内部层级监督。整改文书不规范、流程简化等问题6处，建立问题台账限期整改；落实政务公开制度，项目审批结果、执法检查记录、价格监管信息全部对外公示，保障群众知情权、监督权。</w:t>
      </w:r>
    </w:p>
    <w:p w14:paraId="806F45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三是常态化风险防控。针对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光伏、</w:t>
      </w:r>
      <w:r>
        <w:rPr>
          <w:rFonts w:hint="eastAsia" w:ascii="仿宋" w:hAnsi="仿宋" w:eastAsia="仿宋" w:cs="仿宋"/>
          <w:sz w:val="32"/>
          <w:szCs w:val="32"/>
        </w:rPr>
        <w:t>油气长输管道山区安全、粮食储备资金监管、民生商品价格波动三大领域开展法治风险排查5次，建立风险台账，提前通过法律手段化解管道施工纠纷、粮库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风险</w:t>
      </w:r>
      <w:r>
        <w:rPr>
          <w:rFonts w:hint="eastAsia" w:ascii="仿宋" w:hAnsi="仿宋" w:eastAsia="仿宋" w:cs="仿宋"/>
          <w:sz w:val="32"/>
          <w:szCs w:val="32"/>
        </w:rPr>
        <w:t>，从源头减少行政争议。</w:t>
      </w:r>
    </w:p>
    <w:p w14:paraId="D5C67E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五、存在短板与下一步工作计划</w:t>
      </w:r>
    </w:p>
    <w:p w14:paraId="722EA6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（一）现存不足</w:t>
      </w:r>
    </w:p>
    <w:p w14:paraId="8B425C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是普法形式创新不足，面向农村群众的价格、粮食普法载体较为单一；二是专业法治人才紧缺，执法人员法律专业背景占比偏低，复杂行政争议处置能力有待加强；三是信用监管与行政执法融合深度不足，企业信用分级差异化执法落实不够细化。</w:t>
      </w:r>
    </w:p>
    <w:p w14:paraId="16760C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（二）2026年工作方向</w:t>
      </w:r>
    </w:p>
    <w:p w14:paraId="3A0F2B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1.持续深化理论武装，常态化开展分层法治培训，补充专业法治力量，提升执法队伍专业化水平；</w:t>
      </w:r>
    </w:p>
    <w:p w14:paraId="1A6E5C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2.创新普法载体，结合平顺乡村旅游特色开展流动普法，推动法治宣传进企业、进村组、进农户；</w:t>
      </w:r>
    </w:p>
    <w:p w14:paraId="FB9CF0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3.持续规范执法流程，完善信用分级监管机制，深化柔性执法，打造法治化营商环境；</w:t>
      </w:r>
    </w:p>
    <w:p w14:paraId="0889B4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4.完善重大项目法律风险预判机制，常态化开展案卷评查，全方位筑牢发改工作法治屏障，以高质量法治保障平顺经济社会高质量发展。</w:t>
      </w:r>
    </w:p>
    <w:p w14:paraId="5047CB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6F4F2C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43093D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33475A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5058BC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bookmarkStart w:id="0" w:name="_GoBack"/>
      <w:bookmarkEnd w:id="0"/>
    </w:p>
    <w:p w14:paraId="51D039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righ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平顺县发展改革和科学技术局</w:t>
      </w:r>
    </w:p>
    <w:p w14:paraId="30FCA8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righ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2026年7月27日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ESI黑体-GB2312">
    <w:altName w:val="宋体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25DE7220"/>
    <w:rsid w:val="2D7640B1"/>
    <w:rsid w:val="9BF084E5"/>
    <w:rsid w:val="FFBB59A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iPriority w:val="1"/>
  </w:style>
  <w:style w:type="table" w:default="1" w:styleId="2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2190</Words>
  <Characters>2250</Characters>
  <Paragraphs>55</Paragraphs>
  <TotalTime>4</TotalTime>
  <ScaleCrop>false</ScaleCrop>
  <LinksUpToDate>false</LinksUpToDate>
  <CharactersWithSpaces>2255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2026-07-09T10:28:00Z</dcterms:created>
  <dc:creator>FNE-AN00</dc:creator>
  <cp:lastModifiedBy>WPS_1782094979</cp:lastModifiedBy>
  <dcterms:modified xsi:type="dcterms:W3CDTF">2026-07-27T01:14:54Z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8C741D8F21E743F8A506AD81A50351F2_13</vt:lpwstr>
  </property>
  <property fmtid="{D5CDD505-2E9C-101B-9397-08002B2CF9AE}" pid="3" name="KSOProductBuildVer">
    <vt:lpwstr>2052-12.1.0.26895</vt:lpwstr>
  </property>
  <property fmtid="{D5CDD505-2E9C-101B-9397-08002B2CF9AE}" pid="4" name="KSOTemplateDocerSaveRecord">
    <vt:lpwstr>eyJoZGlkIjoiYzY1Y2ZkOWIyZjRiOTQ1ZTFmN2FjMmQzZTdiNTlhYTUiLCJ1c2VySWQiOiIxODYwMDM4ODg2In0=</vt:lpwstr>
  </property>
</Properties>
</file>