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9F2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bCs/>
          <w:sz w:val="44"/>
          <w:szCs w:val="44"/>
          <w:lang w:val="en-US" w:eastAsia="zh-CN"/>
        </w:rPr>
        <w:t>西沟乡</w:t>
      </w:r>
      <w:r>
        <w:rPr>
          <w:rFonts w:hint="eastAsia" w:ascii="方正小标宋简体" w:hAnsi="方正小标宋简体" w:eastAsia="方正小标宋简体" w:cs="方正小标宋简体"/>
          <w:b/>
          <w:bCs/>
          <w:sz w:val="44"/>
          <w:szCs w:val="44"/>
        </w:rPr>
        <w:t>行政执法公示</w:t>
      </w:r>
      <w:r>
        <w:rPr>
          <w:rFonts w:hint="eastAsia" w:ascii="方正小标宋简体" w:hAnsi="方正小标宋简体" w:eastAsia="方正小标宋简体" w:cs="方正小标宋简体"/>
          <w:b/>
          <w:bCs/>
          <w:sz w:val="44"/>
          <w:szCs w:val="44"/>
          <w:lang w:eastAsia="zh-CN"/>
        </w:rPr>
        <w:t>制度</w:t>
      </w:r>
    </w:p>
    <w:p w14:paraId="091AD679">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eastAsia" w:ascii="黑体" w:hAnsi="黑体" w:eastAsia="黑体"/>
          <w:spacing w:val="-11"/>
          <w:sz w:val="32"/>
          <w:szCs w:val="32"/>
        </w:rPr>
      </w:pPr>
    </w:p>
    <w:p w14:paraId="775DED3F">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第一条  </w:t>
      </w:r>
      <w:r>
        <w:rPr>
          <w:rFonts w:hint="eastAsia" w:ascii="仿宋_GB2312" w:hAnsi="仿宋_GB2312" w:eastAsia="仿宋_GB2312" w:cs="仿宋_GB2312"/>
          <w:spacing w:val="-11"/>
          <w:sz w:val="32"/>
          <w:szCs w:val="32"/>
        </w:rPr>
        <w:t>为了规范行政执法行为，提高行政执法透明度，促进严格规范公正文明执法，保护公民、法人和其他组织的合法权益，根据《山西省行政执法公示</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》等有关规定，结合</w:t>
      </w:r>
      <w:r>
        <w:rPr>
          <w:rFonts w:hint="eastAsia" w:ascii="仿宋_GB2312" w:hAnsi="仿宋_GB2312" w:eastAsia="仿宋_GB2312" w:cs="仿宋_GB2312"/>
          <w:spacing w:val="-11"/>
          <w:sz w:val="32"/>
          <w:szCs w:val="32"/>
          <w:lang w:val="en-US" w:eastAsia="zh-CN"/>
        </w:rPr>
        <w:t>西沟乡</w:t>
      </w:r>
      <w:r>
        <w:rPr>
          <w:rFonts w:hint="eastAsia" w:ascii="仿宋_GB2312" w:hAnsi="仿宋_GB2312" w:eastAsia="仿宋_GB2312" w:cs="仿宋_GB2312"/>
          <w:spacing w:val="-11"/>
          <w:sz w:val="32"/>
          <w:szCs w:val="32"/>
        </w:rPr>
        <w:t>实际，制定本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w:t>
      </w:r>
    </w:p>
    <w:p w14:paraId="6E4E4FE2">
      <w:pPr>
        <w:keepNext w:val="0"/>
        <w:keepLines w:val="0"/>
        <w:pageBreakBefore w:val="0"/>
        <w:widowControl w:val="0"/>
        <w:kinsoku/>
        <w:wordWrap/>
        <w:overflowPunct/>
        <w:topLinePunct w:val="0"/>
        <w:autoSpaceDE/>
        <w:autoSpaceDN w:val="0"/>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第二条 </w:t>
      </w:r>
      <w:r>
        <w:rPr>
          <w:rFonts w:hint="eastAsia" w:ascii="黑体" w:hAnsi="黑体" w:eastAsia="黑体"/>
          <w:spacing w:val="-11"/>
          <w:sz w:val="32"/>
          <w:szCs w:val="32"/>
          <w:lang w:val="en-US" w:eastAsia="zh-CN"/>
        </w:rPr>
        <w:t>西沟乡</w:t>
      </w:r>
      <w:r>
        <w:rPr>
          <w:rFonts w:hint="eastAsia" w:ascii="仿宋_GB2312" w:hAnsi="仿宋_GB2312" w:eastAsia="仿宋_GB2312" w:cs="仿宋_GB2312"/>
          <w:spacing w:val="-11"/>
          <w:sz w:val="32"/>
          <w:szCs w:val="32"/>
        </w:rPr>
        <w:t>人民政府的行政执法公示，适用本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w:t>
      </w:r>
    </w:p>
    <w:p w14:paraId="3F64F230">
      <w:pPr>
        <w:keepNext w:val="0"/>
        <w:keepLines w:val="0"/>
        <w:pageBreakBefore w:val="0"/>
        <w:widowControl w:val="0"/>
        <w:kinsoku/>
        <w:wordWrap/>
        <w:overflowPunct/>
        <w:topLinePunct w:val="0"/>
        <w:autoSpaceDE/>
        <w:autoSpaceDN w:val="0"/>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法律、法规、规章另有规定的，从其规定。</w:t>
      </w:r>
    </w:p>
    <w:p w14:paraId="73FC8381">
      <w:pPr>
        <w:keepNext w:val="0"/>
        <w:keepLines w:val="0"/>
        <w:pageBreakBefore w:val="0"/>
        <w:widowControl w:val="0"/>
        <w:kinsoku/>
        <w:wordWrap/>
        <w:overflowPunct/>
        <w:topLinePunct w:val="0"/>
        <w:autoSpaceDE/>
        <w:autoSpaceDN w:val="0"/>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第三条  </w:t>
      </w:r>
      <w:r>
        <w:rPr>
          <w:rFonts w:hint="eastAsia" w:ascii="仿宋_GB2312" w:hAnsi="仿宋_GB2312" w:eastAsia="仿宋_GB2312" w:cs="仿宋_GB2312"/>
          <w:spacing w:val="-11"/>
          <w:sz w:val="32"/>
          <w:szCs w:val="32"/>
        </w:rPr>
        <w:t>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所称行政执法公示，是指</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bookmarkStart w:id="0" w:name="_GoBack"/>
      <w:bookmarkEnd w:id="0"/>
      <w:r>
        <w:rPr>
          <w:rFonts w:hint="eastAsia" w:ascii="仿宋_GB2312" w:hAnsi="仿宋_GB2312" w:eastAsia="仿宋_GB2312" w:cs="仿宋_GB2312"/>
          <w:spacing w:val="-11"/>
          <w:sz w:val="32"/>
          <w:szCs w:val="32"/>
        </w:rPr>
        <w:t>通过一定载体和方式，依法主动或依申请向社会、行政相对人公示或公开执法信息的活动。</w:t>
      </w:r>
    </w:p>
    <w:p w14:paraId="70BB39EA">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第四条  </w:t>
      </w:r>
      <w:r>
        <w:rPr>
          <w:rFonts w:hint="eastAsia" w:ascii="仿宋_GB2312" w:hAnsi="仿宋_GB2312" w:eastAsia="仿宋_GB2312" w:cs="仿宋_GB2312"/>
          <w:spacing w:val="-11"/>
          <w:sz w:val="32"/>
          <w:szCs w:val="32"/>
        </w:rPr>
        <w:t>行政执法公示应当坚持以公开为常态、不公开为例外，遵循依法、主动、全面、及时、便民的原则。</w:t>
      </w:r>
    </w:p>
    <w:p w14:paraId="0FA4FD99">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第五条  </w:t>
      </w:r>
      <w:r>
        <w:rPr>
          <w:rFonts w:hint="eastAsia" w:ascii="仿宋_GB2312" w:hAnsi="仿宋_GB2312" w:eastAsia="仿宋_GB2312" w:cs="仿宋_GB2312"/>
          <w:spacing w:val="-11"/>
          <w:sz w:val="32"/>
          <w:szCs w:val="32"/>
        </w:rPr>
        <w:t>应当加强对行政执法公示的组织领导。</w:t>
      </w:r>
    </w:p>
    <w:p w14:paraId="025DE097">
      <w:pPr>
        <w:keepNext w:val="0"/>
        <w:keepLines w:val="0"/>
        <w:pageBreakBefore w:val="0"/>
        <w:widowControl w:val="0"/>
        <w:numPr>
          <w:ilvl w:val="0"/>
          <w:numId w:val="0"/>
        </w:numPr>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cs="黑体"/>
          <w:spacing w:val="-11"/>
          <w:sz w:val="32"/>
          <w:szCs w:val="32"/>
          <w:lang w:eastAsia="zh-CN"/>
        </w:rPr>
        <w:t>第六条</w:t>
      </w:r>
      <w:r>
        <w:rPr>
          <w:rFonts w:hint="eastAsia" w:ascii="仿宋_GB2312" w:hAnsi="仿宋_GB2312" w:eastAsia="仿宋_GB2312" w:cs="仿宋_GB2312"/>
          <w:spacing w:val="-11"/>
          <w:sz w:val="32"/>
          <w:szCs w:val="32"/>
        </w:rPr>
        <w:t xml:space="preserve">  按照“谁执法、谁公示”的要求，构建分工明确、职责明晰、便捷高效的执法公示运行机制，明确专门机构和人员负责公示内容的采集、传递、审核、发布，统一公示信息标准和格式。</w:t>
      </w:r>
    </w:p>
    <w:p w14:paraId="4F56D914">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第七条  </w:t>
      </w:r>
      <w:r>
        <w:rPr>
          <w:rFonts w:hint="eastAsia" w:ascii="仿宋_GB2312" w:hAnsi="仿宋_GB2312" w:eastAsia="仿宋_GB2312" w:cs="仿宋_GB2312"/>
          <w:spacing w:val="-11"/>
          <w:sz w:val="32"/>
          <w:szCs w:val="32"/>
        </w:rPr>
        <w:t>应当建立健全行政执法公示信息审核机制，未经审核的执法信息不得公示。</w:t>
      </w:r>
    </w:p>
    <w:p w14:paraId="7A76B857">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第八条  </w:t>
      </w:r>
      <w:r>
        <w:rPr>
          <w:rFonts w:hint="eastAsia" w:ascii="仿宋_GB2312" w:hAnsi="仿宋_GB2312" w:eastAsia="仿宋_GB2312" w:cs="仿宋_GB2312"/>
          <w:spacing w:val="-11"/>
          <w:sz w:val="32"/>
          <w:szCs w:val="32"/>
        </w:rPr>
        <w:t>行政执法信息公示以政府信息平台为主要载体，通过其他信息平台公示执法信息的，应当建立相关平台与本级政府门户网站的有效链接，实现公示信息互联互通。</w:t>
      </w:r>
    </w:p>
    <w:p w14:paraId="3F438790">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第九条  </w:t>
      </w:r>
      <w:r>
        <w:rPr>
          <w:rFonts w:hint="eastAsia" w:ascii="仿宋_GB2312" w:hAnsi="仿宋_GB2312" w:eastAsia="仿宋_GB2312" w:cs="仿宋_GB2312"/>
          <w:spacing w:val="-11"/>
          <w:sz w:val="32"/>
          <w:szCs w:val="32"/>
        </w:rPr>
        <w:t>乡人民政府应当依法主动公示下列执法信息：</w:t>
      </w:r>
    </w:p>
    <w:p w14:paraId="1C1777E2">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（一）乡人民政府名称、职责、内设执法机构及职责分工、执法类型、执法区域；</w:t>
      </w:r>
    </w:p>
    <w:p w14:paraId="19AD57C0">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（二）权责清单、执法事项清单、随机抽查事项清单、年度行政执法数据统计报告等信息；</w:t>
      </w:r>
    </w:p>
    <w:p w14:paraId="14536094">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（三）行政执法人员姓名、单位、职务、执法证件号；</w:t>
      </w:r>
    </w:p>
    <w:p w14:paraId="7D7CABA6">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（四）行政执法事项依据、条件、程序、时限、裁量基准；</w:t>
      </w:r>
    </w:p>
    <w:p w14:paraId="43DFB4AC">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（五）行政相对人依法享有的救济渠道；</w:t>
      </w:r>
    </w:p>
    <w:p w14:paraId="03AF38C2">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（六）服务指南、行政执法流程图；</w:t>
      </w:r>
    </w:p>
    <w:p w14:paraId="360B5DD2">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（七）其他应当主动公示的内容。</w:t>
      </w:r>
    </w:p>
    <w:p w14:paraId="0B8C248A">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公示内容应当依据法律、法规、规章及机构职能变化情况进行动态调整。</w:t>
      </w:r>
    </w:p>
    <w:p w14:paraId="2E0F70E8">
      <w:pPr>
        <w:keepNext w:val="0"/>
        <w:keepLines w:val="0"/>
        <w:pageBreakBefore w:val="0"/>
        <w:widowControl w:val="0"/>
        <w:kinsoku/>
        <w:wordWrap/>
        <w:overflowPunct/>
        <w:topLinePunct w:val="0"/>
        <w:autoSpaceDE/>
        <w:autoSpaceDN w:val="0"/>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第十条  </w:t>
      </w:r>
      <w:r>
        <w:rPr>
          <w:rFonts w:hint="eastAsia" w:ascii="仿宋_GB2312" w:hAnsi="仿宋_GB2312" w:eastAsia="仿宋_GB2312" w:cs="仿宋_GB2312"/>
          <w:spacing w:val="-11"/>
          <w:sz w:val="32"/>
          <w:szCs w:val="32"/>
        </w:rPr>
        <w:t>行政执法人员进行监督检查、调查取证、采取强制措施和强制执行、送达执法文书等执法活动时，应当主动出示执法证件亮明身份；出具行政执法文书，主动告知当事人执法事由、执法依据、权利义务等内容。</w:t>
      </w:r>
    </w:p>
    <w:p w14:paraId="69F4D853">
      <w:pPr>
        <w:keepNext w:val="0"/>
        <w:keepLines w:val="0"/>
        <w:pageBreakBefore w:val="0"/>
        <w:widowControl w:val="0"/>
        <w:kinsoku/>
        <w:wordWrap/>
        <w:overflowPunct/>
        <w:topLinePunct w:val="0"/>
        <w:autoSpaceDE/>
        <w:autoSpaceDN w:val="0"/>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国家规定统一着执法服装、佩戴执法标识的，执法时要按规定着装、佩戴标识。</w:t>
      </w:r>
    </w:p>
    <w:p w14:paraId="7BBEEC10">
      <w:pPr>
        <w:keepNext w:val="0"/>
        <w:keepLines w:val="0"/>
        <w:pageBreakBefore w:val="0"/>
        <w:widowControl w:val="0"/>
        <w:kinsoku/>
        <w:wordWrap/>
        <w:overflowPunct/>
        <w:topLinePunct w:val="0"/>
        <w:autoSpaceDE/>
        <w:autoSpaceDN w:val="0"/>
        <w:bidi w:val="0"/>
        <w:spacing w:line="600" w:lineRule="exact"/>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    第十一条  </w:t>
      </w:r>
      <w:r>
        <w:rPr>
          <w:rFonts w:hint="eastAsia" w:ascii="仿宋_GB2312" w:hAnsi="仿宋_GB2312" w:eastAsia="仿宋_GB2312" w:cs="仿宋_GB2312"/>
          <w:spacing w:val="-11"/>
          <w:sz w:val="32"/>
          <w:szCs w:val="32"/>
        </w:rPr>
        <w:t>乡人民政府应当在政务服务窗口主动公示许可或者服务事项名称、依据、受理机构、审批机构、受理条件、申请材料清单、办理流程、办理时限、证照发放、表格下载方式、监督检查、咨询渠道、投诉举报、状态查询，各类减、免、缓、征的条件、标准和审批或者办理程序。</w:t>
      </w:r>
    </w:p>
    <w:p w14:paraId="068FDF5E">
      <w:pPr>
        <w:keepNext w:val="0"/>
        <w:keepLines w:val="0"/>
        <w:pageBreakBefore w:val="0"/>
        <w:widowControl w:val="0"/>
        <w:kinsoku/>
        <w:wordWrap/>
        <w:overflowPunct/>
        <w:topLinePunct w:val="0"/>
        <w:autoSpaceDE/>
        <w:bidi w:val="0"/>
        <w:spacing w:line="600" w:lineRule="exact"/>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    第十二条  </w:t>
      </w:r>
      <w:r>
        <w:rPr>
          <w:rFonts w:hint="eastAsia" w:ascii="仿宋_GB2312" w:hAnsi="仿宋_GB2312" w:eastAsia="仿宋_GB2312" w:cs="仿宋_GB2312"/>
          <w:spacing w:val="-11"/>
          <w:sz w:val="32"/>
          <w:szCs w:val="32"/>
        </w:rPr>
        <w:t>行政执法决定信息应当在执法决定作出之日起20个工作日内公开。行政许可、行政处罚的执法决定信息应当在执法决定作出之日起7个工作日内公开。</w:t>
      </w:r>
    </w:p>
    <w:p w14:paraId="115E6959">
      <w:pPr>
        <w:keepNext w:val="0"/>
        <w:keepLines w:val="0"/>
        <w:pageBreakBefore w:val="0"/>
        <w:widowControl w:val="0"/>
        <w:kinsoku/>
        <w:wordWrap/>
        <w:overflowPunct/>
        <w:topLinePunct w:val="0"/>
        <w:autoSpaceDE/>
        <w:bidi w:val="0"/>
        <w:spacing w:line="600" w:lineRule="exact"/>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法律、法规、规章另有规定的，从其规定。</w:t>
      </w:r>
    </w:p>
    <w:p w14:paraId="204EF07F">
      <w:pPr>
        <w:keepNext w:val="0"/>
        <w:keepLines w:val="0"/>
        <w:pageBreakBefore w:val="0"/>
        <w:widowControl w:val="0"/>
        <w:kinsoku/>
        <w:wordWrap/>
        <w:overflowPunct/>
        <w:topLinePunct w:val="0"/>
        <w:autoSpaceDE/>
        <w:bidi w:val="0"/>
        <w:spacing w:line="600" w:lineRule="exact"/>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    第十三条  </w:t>
      </w:r>
      <w:r>
        <w:rPr>
          <w:rFonts w:hint="eastAsia" w:ascii="仿宋_GB2312" w:hAnsi="仿宋_GB2312" w:eastAsia="仿宋_GB2312" w:cs="仿宋_GB2312"/>
          <w:spacing w:val="-11"/>
          <w:sz w:val="32"/>
          <w:szCs w:val="32"/>
        </w:rPr>
        <w:t>行政执法决定信息以行政执法决定书或者行政执法决定信息摘要的方式予以公开。采取行政执法决定信息摘要方式公开的，应当包括执法主体、执法对象、执法类别、执法结论、决定日期等内容。</w:t>
      </w:r>
    </w:p>
    <w:p w14:paraId="692C56B9">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第十四条  </w:t>
      </w:r>
      <w:r>
        <w:rPr>
          <w:rFonts w:hint="eastAsia" w:ascii="仿宋_GB2312" w:hAnsi="仿宋_GB2312" w:eastAsia="仿宋_GB2312" w:cs="仿宋_GB2312"/>
          <w:spacing w:val="-11"/>
          <w:sz w:val="32"/>
          <w:szCs w:val="32"/>
        </w:rPr>
        <w:t>依法确定为国家秘密的信息，法律、法规、规章禁止公开的信息，以及公开后可能危及国家安全、公共安全、经济安全、社会稳定的信息，不予公开。</w:t>
      </w:r>
    </w:p>
    <w:p w14:paraId="7843BAFD">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涉及商业秘密、个人隐私等公开会对第三方合法权益造成损害的信息，乡人民政府不得公开。但是第三方同意公开或者</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人民政府认为不公开会对公共利益造成重大影响的，可以公开。</w:t>
      </w:r>
    </w:p>
    <w:p w14:paraId="22C95384">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第十五条  </w:t>
      </w:r>
      <w:r>
        <w:rPr>
          <w:rFonts w:hint="eastAsia" w:ascii="仿宋_GB2312" w:hAnsi="仿宋_GB2312" w:eastAsia="仿宋_GB2312" w:cs="仿宋_GB2312"/>
          <w:spacing w:val="-11"/>
          <w:sz w:val="32"/>
          <w:szCs w:val="32"/>
        </w:rPr>
        <w:t>公民、法人或者其他组织</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人民政府的执法信息申请公开的，乡人民政府应当根据《中华人民共和国政府信息公开条例》等有关规定办理。</w:t>
      </w:r>
    </w:p>
    <w:p w14:paraId="59B22EDF">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第十六条  </w:t>
      </w:r>
      <w:r>
        <w:rPr>
          <w:rFonts w:hint="eastAsia" w:ascii="仿宋_GB2312" w:hAnsi="仿宋_GB2312" w:eastAsia="仿宋_GB2312" w:cs="仿宋_GB2312"/>
          <w:spacing w:val="-11"/>
          <w:sz w:val="32"/>
          <w:szCs w:val="32"/>
        </w:rPr>
        <w:t>乡人民政府当及时更新下列相关执法信息：</w:t>
      </w:r>
    </w:p>
    <w:p w14:paraId="2D2396C0">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（一）根据法律、法规、规章及行政规范性文件的立改废释需及时更新的；</w:t>
      </w:r>
    </w:p>
    <w:p w14:paraId="4D70F498">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（二）</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人民政府内设执法机构职能发生变化的；</w:t>
      </w:r>
    </w:p>
    <w:p w14:paraId="2F25CD02">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（三）生效行政复议决定或行政诉讼裁判文书变更、撤销行政执法行为，或确认行政执法行为违法或无效的；</w:t>
      </w:r>
    </w:p>
    <w:p w14:paraId="299C4E08">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（四）其他需要更新的情形。</w:t>
      </w:r>
    </w:p>
    <w:p w14:paraId="2290C140">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黑体" w:hAnsi="黑体" w:eastAsia="黑体"/>
          <w:spacing w:val="-11"/>
          <w:sz w:val="32"/>
          <w:szCs w:val="32"/>
        </w:rPr>
      </w:pPr>
      <w:r>
        <w:rPr>
          <w:rFonts w:hint="eastAsia" w:ascii="黑体" w:hAnsi="黑体" w:eastAsia="黑体"/>
          <w:spacing w:val="-11"/>
          <w:sz w:val="32"/>
          <w:szCs w:val="32"/>
        </w:rPr>
        <w:t xml:space="preserve">第十七条  </w:t>
      </w:r>
      <w:r>
        <w:rPr>
          <w:rFonts w:hint="eastAsia" w:ascii="仿宋_GB2312" w:hAnsi="仿宋_GB2312" w:eastAsia="仿宋_GB2312" w:cs="仿宋_GB2312"/>
          <w:spacing w:val="-11"/>
          <w:sz w:val="32"/>
          <w:szCs w:val="32"/>
        </w:rPr>
        <w:t>公民、法人或者其他组织有证据证明</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人民政府公示的与其自身相关的执法信息不准确的，可以要求</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人民政府更正。</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人民政府审核属实的，应当予以更正并告知申请人；不属于本</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人民政府职能范围的，可以转送有权更正的</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人民政府处理并告知申请人，或者告知申请人向有权更正的</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人民政府提出。</w:t>
      </w:r>
    </w:p>
    <w:p w14:paraId="094B2835">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第十八条  </w:t>
      </w:r>
      <w:r>
        <w:rPr>
          <w:rFonts w:hint="eastAsia" w:ascii="仿宋_GB2312" w:hAnsi="仿宋_GB2312" w:eastAsia="仿宋_GB2312" w:cs="仿宋_GB2312"/>
          <w:spacing w:val="-11"/>
          <w:sz w:val="32"/>
          <w:szCs w:val="32"/>
        </w:rPr>
        <w:t>公民、法人或者其他组织认为</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人民政府在执法公示中侵犯其合法权益的，可以向</w:t>
      </w:r>
      <w:r>
        <w:rPr>
          <w:rFonts w:hint="eastAsia" w:ascii="仿宋_GB2312" w:hAnsi="仿宋_GB2312" w:eastAsia="仿宋_GB2312" w:cs="仿宋_GB2312"/>
          <w:spacing w:val="-11"/>
          <w:sz w:val="32"/>
          <w:szCs w:val="32"/>
          <w:lang w:val="en-US" w:eastAsia="zh-CN"/>
        </w:rPr>
        <w:t>县级</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pacing w:val="-11"/>
          <w:sz w:val="32"/>
          <w:szCs w:val="32"/>
          <w:lang w:val="en-US" w:eastAsia="zh-CN"/>
        </w:rPr>
        <w:t>行政执法监督机构进行</w:t>
      </w:r>
      <w:r>
        <w:rPr>
          <w:rFonts w:hint="eastAsia" w:ascii="仿宋_GB2312" w:hAnsi="仿宋_GB2312" w:eastAsia="仿宋_GB2312" w:cs="仿宋_GB2312"/>
          <w:spacing w:val="-11"/>
          <w:sz w:val="32"/>
          <w:szCs w:val="32"/>
        </w:rPr>
        <w:t>投诉、举报，也可以依法申请行政复议或者提起行政诉讼。</w:t>
      </w:r>
    </w:p>
    <w:p w14:paraId="1A7F271C">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第十九条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人民政府违反本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规定的，由上一级人民政府责令改正；情节严重的，对负有直接责任的领导人员和其他直接责任人员依纪依法处理；构成犯罪的，依法追究刑事责任。</w:t>
      </w:r>
    </w:p>
    <w:p w14:paraId="2D62C304">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 w:hAnsi="仿宋" w:eastAsia="仿宋" w:cs="仿宋"/>
          <w:spacing w:val="-11"/>
          <w:sz w:val="32"/>
          <w:szCs w:val="32"/>
        </w:rPr>
      </w:pPr>
      <w:r>
        <w:rPr>
          <w:rFonts w:hint="eastAsia" w:ascii="黑体" w:hAnsi="黑体" w:eastAsia="黑体"/>
          <w:spacing w:val="-11"/>
          <w:sz w:val="32"/>
          <w:szCs w:val="32"/>
        </w:rPr>
        <w:t xml:space="preserve">第二十条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人民政府可根据本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，结合实际，制定具体措施或制度。</w:t>
      </w:r>
    </w:p>
    <w:p w14:paraId="1C0BF965">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第二十一条  </w:t>
      </w:r>
      <w:r>
        <w:rPr>
          <w:rFonts w:hint="eastAsia" w:ascii="仿宋_GB2312" w:hAnsi="仿宋_GB2312" w:eastAsia="仿宋_GB2312" w:cs="仿宋_GB2312"/>
          <w:spacing w:val="-11"/>
          <w:sz w:val="32"/>
          <w:szCs w:val="32"/>
        </w:rPr>
        <w:t>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自印发之日起施行。</w:t>
      </w:r>
    </w:p>
    <w:p w14:paraId="6D9B9201">
      <w:pPr>
        <w:keepNext w:val="0"/>
        <w:keepLines w:val="0"/>
        <w:pageBreakBefore w:val="0"/>
        <w:widowControl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sz w:val="32"/>
          <w:szCs w:val="32"/>
        </w:rPr>
      </w:pPr>
    </w:p>
    <w:p w14:paraId="41C9D4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微软雅黑"/>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KSOF17264B27">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478DC"/>
    <w:rsid w:val="3F5C14D9"/>
    <w:rsid w:val="40B326B5"/>
    <w:rsid w:val="417E56CB"/>
    <w:rsid w:val="50B83F68"/>
    <w:rsid w:val="57E949C5"/>
    <w:rsid w:val="675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1841</Words>
  <Characters>1842</Characters>
  <Lines>0</Lines>
  <Paragraphs>0</Paragraphs>
  <TotalTime>12</TotalTime>
  <ScaleCrop>false</ScaleCrop>
  <LinksUpToDate>false</LinksUpToDate>
  <CharactersWithSpaces>1899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缘</cp:lastModifiedBy>
  <dcterms:modified xsi:type="dcterms:W3CDTF">2026-04-17T00:32:32Z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71A8209F86594A58B392D87E5EF6B6C1</vt:lpwstr>
  </property>
  <property fmtid="{D5CDD505-2E9C-101B-9397-08002B2CF9AE}" pid="4" name="KSOTemplateDocerSaveRecord">
    <vt:lpwstr>eyJoZGlkIjoiMDViODllYWFkMGI4NTAyOTc4MjM0MmUwOWRhZmZjNjciLCJ1c2VySWQiOiI2Mzc2MDA1NTQifQ==</vt:lpwstr>
  </property>
</Properties>
</file>