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黑体" w:hAnsi="黑体" w:eastAsia="黑体" w:cs="黑体"/>
          <w:color w:val="FF0000"/>
          <w:sz w:val="32"/>
          <w:szCs w:val="32"/>
        </w:rPr>
      </w:pPr>
      <w:r>
        <w:rPr>
          <w:rFonts w:hint="eastAsia" w:ascii="黑体" w:hAnsi="黑体" w:eastAsia="黑体" w:cs="黑体"/>
          <w:color w:val="FF0000"/>
          <w:sz w:val="32"/>
          <w:szCs w:val="32"/>
        </w:rPr>
        <w:t>危险化学品经营许可证申请须知</w:t>
      </w:r>
      <w:bookmarkStart w:id="0" w:name="_GoBack"/>
      <w:bookmarkEnd w:id="0"/>
    </w:p>
    <w:p>
      <w:pPr>
        <w:keepNext w:val="0"/>
        <w:keepLines w:val="0"/>
        <w:pageBreakBefore w:val="0"/>
        <w:widowControl/>
        <w:numPr>
          <w:ilvl w:val="0"/>
          <w:numId w:val="1"/>
        </w:numPr>
        <w:kinsoku/>
        <w:wordWrap/>
        <w:overflowPunct/>
        <w:topLinePunct w:val="0"/>
        <w:autoSpaceDE/>
        <w:autoSpaceDN/>
        <w:bidi w:val="0"/>
        <w:adjustRightInd w:val="0"/>
        <w:snapToGrid w:val="0"/>
        <w:spacing w:line="200" w:lineRule="exact"/>
        <w:ind w:left="0" w:leftChars="0" w:firstLine="0" w:firstLineChars="0"/>
        <w:textAlignment w:val="auto"/>
        <w:rPr>
          <w:rFonts w:hint="eastAsia" w:ascii="黑体" w:hAnsi="黑体" w:eastAsia="黑体" w:cs="黑体"/>
          <w:color w:val="4F81BD" w:themeColor="accent1"/>
          <w:sz w:val="18"/>
          <w:szCs w:val="18"/>
          <w:lang w:val="en-US" w:eastAsia="zh-CN"/>
        </w:rPr>
      </w:pPr>
      <w:r>
        <w:rPr>
          <w:rFonts w:hint="eastAsia" w:ascii="黑体" w:hAnsi="黑体" w:eastAsia="黑体" w:cs="黑体"/>
          <w:color w:val="4F81BD" w:themeColor="accent1"/>
          <w:sz w:val="18"/>
          <w:szCs w:val="18"/>
          <w:lang w:val="en-US" w:eastAsia="zh-CN"/>
        </w:rPr>
        <w:t>申请经营许可证的条件：</w:t>
      </w:r>
    </w:p>
    <w:p>
      <w:pPr>
        <w:keepNext w:val="0"/>
        <w:keepLines w:val="0"/>
        <w:pageBreakBefore w:val="0"/>
        <w:widowControl/>
        <w:numPr>
          <w:ilvl w:val="0"/>
          <w:numId w:val="2"/>
        </w:numPr>
        <w:kinsoku/>
        <w:wordWrap/>
        <w:overflowPunct/>
        <w:topLinePunct w:val="0"/>
        <w:autoSpaceDE/>
        <w:autoSpaceDN/>
        <w:bidi w:val="0"/>
        <w:adjustRightInd w:val="0"/>
        <w:snapToGrid w:val="0"/>
        <w:spacing w:line="200" w:lineRule="exact"/>
        <w:ind w:leftChars="0"/>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从事危险化学品经营的单位（以下统称申请人）应当依法登记为企业，并具备下列基本条件：</w:t>
      </w:r>
    </w:p>
    <w:p>
      <w:pPr>
        <w:keepNext w:val="0"/>
        <w:keepLines w:val="0"/>
        <w:pageBreakBefore w:val="0"/>
        <w:widowControl/>
        <w:numPr>
          <w:ilvl w:val="0"/>
          <w:numId w:val="3"/>
        </w:numPr>
        <w:kinsoku/>
        <w:wordWrap/>
        <w:overflowPunct/>
        <w:topLinePunct w:val="0"/>
        <w:autoSpaceDE/>
        <w:autoSpaceDN/>
        <w:bidi w:val="0"/>
        <w:adjustRightInd w:val="0"/>
        <w:snapToGrid w:val="0"/>
        <w:spacing w:line="200" w:lineRule="exact"/>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经营和储存场所、设施、建筑物符合《建筑设计防火规范》《石油化工企业设计防火规范》《汽车加油加气站设计与施工规范》《石油库设计规范》等相关国家标准、行业标准的规定；</w:t>
      </w:r>
    </w:p>
    <w:p>
      <w:pPr>
        <w:keepNext w:val="0"/>
        <w:keepLines w:val="0"/>
        <w:pageBreakBefore w:val="0"/>
        <w:widowControl/>
        <w:numPr>
          <w:ilvl w:val="0"/>
          <w:numId w:val="3"/>
        </w:numPr>
        <w:kinsoku/>
        <w:wordWrap/>
        <w:overflowPunct/>
        <w:topLinePunct w:val="0"/>
        <w:autoSpaceDE/>
        <w:autoSpaceDN/>
        <w:bidi w:val="0"/>
        <w:adjustRightInd w:val="0"/>
        <w:snapToGrid w:val="0"/>
        <w:spacing w:line="200" w:lineRule="exact"/>
        <w:ind w:left="0" w:leftChars="0" w:firstLine="0" w:firstLineChars="0"/>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有健全的安全生产规章制度和岗位操作规程；</w:t>
      </w:r>
    </w:p>
    <w:p>
      <w:pPr>
        <w:keepNext w:val="0"/>
        <w:keepLines w:val="0"/>
        <w:pageBreakBefore w:val="0"/>
        <w:widowControl/>
        <w:numPr>
          <w:ilvl w:val="0"/>
          <w:numId w:val="3"/>
        </w:numPr>
        <w:kinsoku/>
        <w:wordWrap/>
        <w:overflowPunct/>
        <w:topLinePunct w:val="0"/>
        <w:autoSpaceDE/>
        <w:autoSpaceDN/>
        <w:bidi w:val="0"/>
        <w:adjustRightInd w:val="0"/>
        <w:snapToGrid w:val="0"/>
        <w:spacing w:line="200" w:lineRule="exact"/>
        <w:ind w:left="0" w:leftChars="0" w:firstLine="0" w:firstLineChars="0"/>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企业主要负责人、安全生产管理人员、特种作业人员、其他从业人员应具有与本企业危险化学品经营活动相适应的安全生产知识和管理能力，并取得相应得资格证书；</w:t>
      </w:r>
    </w:p>
    <w:p>
      <w:pPr>
        <w:keepNext w:val="0"/>
        <w:keepLines w:val="0"/>
        <w:pageBreakBefore w:val="0"/>
        <w:widowControl/>
        <w:numPr>
          <w:ilvl w:val="0"/>
          <w:numId w:val="3"/>
        </w:numPr>
        <w:kinsoku/>
        <w:wordWrap/>
        <w:overflowPunct/>
        <w:topLinePunct w:val="0"/>
        <w:autoSpaceDE/>
        <w:autoSpaceDN/>
        <w:bidi w:val="0"/>
        <w:adjustRightInd w:val="0"/>
        <w:snapToGrid w:val="0"/>
        <w:spacing w:line="200" w:lineRule="exact"/>
        <w:ind w:left="0" w:leftChars="0" w:firstLine="0" w:firstLineChars="0"/>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经营场所产权证明文件或者租赁证明文件（复印件）；</w:t>
      </w:r>
    </w:p>
    <w:p>
      <w:pPr>
        <w:keepNext w:val="0"/>
        <w:keepLines w:val="0"/>
        <w:pageBreakBefore w:val="0"/>
        <w:widowControl/>
        <w:numPr>
          <w:numId w:val="0"/>
        </w:numPr>
        <w:kinsoku/>
        <w:wordWrap/>
        <w:overflowPunct/>
        <w:topLinePunct w:val="0"/>
        <w:autoSpaceDE/>
        <w:autoSpaceDN/>
        <w:bidi w:val="0"/>
        <w:adjustRightInd w:val="0"/>
        <w:snapToGrid w:val="0"/>
        <w:spacing w:line="200" w:lineRule="exact"/>
        <w:ind w:leftChars="0"/>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5、有危险化学品事故应急预案备案及必要的应急救援器材设备。</w:t>
      </w:r>
    </w:p>
    <w:p>
      <w:pPr>
        <w:keepNext w:val="0"/>
        <w:keepLines w:val="0"/>
        <w:pageBreakBefore w:val="0"/>
        <w:widowControl/>
        <w:numPr>
          <w:ilvl w:val="0"/>
          <w:numId w:val="2"/>
        </w:numPr>
        <w:kinsoku/>
        <w:wordWrap/>
        <w:overflowPunct/>
        <w:topLinePunct w:val="0"/>
        <w:autoSpaceDE/>
        <w:autoSpaceDN/>
        <w:bidi w:val="0"/>
        <w:adjustRightInd w:val="0"/>
        <w:snapToGrid w:val="0"/>
        <w:spacing w:line="200" w:lineRule="exact"/>
        <w:ind w:left="0" w:leftChars="0" w:firstLine="0" w:firstLineChars="0"/>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申请人经营剧毒化学品的，除符合上述基本条件外，还应当建立剧毒化学品双人验收、双人保管、双人发货、双把锁、双本账等管理制度。</w:t>
      </w:r>
    </w:p>
    <w:p>
      <w:pPr>
        <w:keepNext w:val="0"/>
        <w:keepLines w:val="0"/>
        <w:pageBreakBefore w:val="0"/>
        <w:widowControl/>
        <w:numPr>
          <w:ilvl w:val="0"/>
          <w:numId w:val="1"/>
        </w:numPr>
        <w:kinsoku/>
        <w:wordWrap/>
        <w:overflowPunct/>
        <w:topLinePunct w:val="0"/>
        <w:autoSpaceDE/>
        <w:autoSpaceDN/>
        <w:bidi w:val="0"/>
        <w:adjustRightInd w:val="0"/>
        <w:snapToGrid w:val="0"/>
        <w:spacing w:line="200" w:lineRule="exact"/>
        <w:ind w:left="0" w:leftChars="0" w:firstLine="0" w:firstLineChars="0"/>
        <w:textAlignment w:val="auto"/>
        <w:rPr>
          <w:rFonts w:hint="eastAsia" w:ascii="黑体" w:hAnsi="黑体" w:eastAsia="黑体" w:cs="黑体"/>
          <w:color w:val="4F81BD" w:themeColor="accent1"/>
          <w:sz w:val="18"/>
          <w:szCs w:val="18"/>
          <w:lang w:val="en-US" w:eastAsia="zh-CN"/>
        </w:rPr>
      </w:pPr>
      <w:r>
        <w:rPr>
          <w:rFonts w:hint="eastAsia" w:ascii="黑体" w:hAnsi="黑体" w:eastAsia="黑体" w:cs="黑体"/>
          <w:color w:val="4F81BD" w:themeColor="accent1"/>
          <w:sz w:val="18"/>
          <w:szCs w:val="18"/>
          <w:lang w:val="en-US" w:eastAsia="zh-CN"/>
        </w:rPr>
        <w:t>申请人提出申请时，需提交的文件、资料：</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ind w:leftChars="0"/>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申请经营许可证的文件及申请书；</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ind w:leftChars="0"/>
        <w:textAlignment w:val="auto"/>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安全生产规章制度和岗位操作规程的目录清单；</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ind w:leftChars="0"/>
        <w:textAlignment w:val="auto"/>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企业主要负责人、安全生产管理人员、特种作业人员的相关资格证书（复制件）和其他从业人员培训合格的证明材料；</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ind w:leftChars="0"/>
        <w:textAlignment w:val="auto"/>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经营场所产权证明文件或者租赁证明文件（复制件）；</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ind w:leftChars="0"/>
        <w:textAlignment w:val="auto"/>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工商行政管理部门颁发的企业性质营业执照或者企业名称预先核准文件（复制件）；</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ind w:leftChars="0"/>
        <w:textAlignment w:val="auto"/>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危险化学品事故应急预案备案登记表（复制件）。</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ind w:leftChars="0"/>
        <w:textAlignment w:val="auto"/>
        <w:rPr>
          <w:rFonts w:hint="default" w:ascii="黑体" w:hAnsi="黑体" w:eastAsia="黑体" w:cs="黑体"/>
          <w:sz w:val="18"/>
          <w:szCs w:val="18"/>
          <w:lang w:val="en-US" w:eastAsia="zh-CN"/>
        </w:rPr>
      </w:pPr>
      <w:r>
        <w:rPr>
          <w:rFonts w:hint="default" w:ascii="黑体" w:hAnsi="黑体" w:eastAsia="黑体" w:cs="黑体"/>
          <w:sz w:val="18"/>
          <w:szCs w:val="18"/>
          <w:lang w:val="en-US" w:eastAsia="zh-CN"/>
        </w:rPr>
        <w:t xml:space="preserve">无储存设施经营承诺书。   </w:t>
      </w:r>
    </w:p>
    <w:p>
      <w:pPr>
        <w:keepNext w:val="0"/>
        <w:keepLines w:val="0"/>
        <w:pageBreakBefore w:val="0"/>
        <w:widowControl/>
        <w:numPr>
          <w:numId w:val="0"/>
        </w:numPr>
        <w:kinsoku/>
        <w:wordWrap/>
        <w:overflowPunct/>
        <w:topLinePunct w:val="0"/>
        <w:autoSpaceDE/>
        <w:autoSpaceDN/>
        <w:bidi w:val="0"/>
        <w:adjustRightInd w:val="0"/>
        <w:snapToGrid w:val="0"/>
        <w:spacing w:line="200" w:lineRule="exact"/>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备注：第五项请按生产安全事故应急预案备案程序申请办理。</w:t>
      </w:r>
    </w:p>
    <w:p>
      <w:pPr>
        <w:keepNext w:val="0"/>
        <w:keepLines w:val="0"/>
        <w:pageBreakBefore w:val="0"/>
        <w:widowControl/>
        <w:numPr>
          <w:numId w:val="0"/>
        </w:numPr>
        <w:kinsoku/>
        <w:wordWrap/>
        <w:overflowPunct/>
        <w:topLinePunct w:val="0"/>
        <w:autoSpaceDE/>
        <w:autoSpaceDN/>
        <w:bidi w:val="0"/>
        <w:adjustRightInd w:val="0"/>
        <w:snapToGrid w:val="0"/>
        <w:spacing w:line="200" w:lineRule="exact"/>
        <w:textAlignment w:val="auto"/>
        <w:rPr>
          <w:rFonts w:hint="eastAsia" w:ascii="黑体" w:hAnsi="黑体" w:eastAsia="黑体" w:cs="黑体"/>
          <w:sz w:val="18"/>
          <w:szCs w:val="18"/>
          <w:lang w:val="en-US" w:eastAsia="zh-CN"/>
        </w:rPr>
      </w:pPr>
    </w:p>
    <w:p>
      <w:pPr>
        <w:keepNext w:val="0"/>
        <w:keepLines w:val="0"/>
        <w:pageBreakBefore w:val="0"/>
        <w:widowControl/>
        <w:numPr>
          <w:numId w:val="0"/>
        </w:numPr>
        <w:kinsoku/>
        <w:wordWrap/>
        <w:overflowPunct/>
        <w:topLinePunct w:val="0"/>
        <w:autoSpaceDE/>
        <w:autoSpaceDN/>
        <w:bidi w:val="0"/>
        <w:adjustRightInd w:val="0"/>
        <w:snapToGrid w:val="0"/>
        <w:spacing w:line="200" w:lineRule="exact"/>
        <w:textAlignment w:val="auto"/>
        <w:rPr>
          <w:rFonts w:hint="default" w:ascii="黑体" w:hAnsi="黑体" w:eastAsia="黑体" w:cs="黑体"/>
          <w:sz w:val="18"/>
          <w:szCs w:val="18"/>
          <w:lang w:val="en-US" w:eastAsia="zh-CN"/>
        </w:rPr>
      </w:pPr>
    </w:p>
    <w:p>
      <w:pPr>
        <w:keepNext w:val="0"/>
        <w:keepLines w:val="0"/>
        <w:pageBreakBefore w:val="0"/>
        <w:widowControl/>
        <w:numPr>
          <w:numId w:val="0"/>
        </w:numPr>
        <w:kinsoku/>
        <w:wordWrap/>
        <w:overflowPunct/>
        <w:topLinePunct w:val="0"/>
        <w:autoSpaceDE/>
        <w:autoSpaceDN/>
        <w:bidi w:val="0"/>
        <w:adjustRightInd w:val="0"/>
        <w:snapToGrid w:val="0"/>
        <w:spacing w:line="200" w:lineRule="exact"/>
        <w:textAlignment w:val="auto"/>
        <w:rPr>
          <w:rFonts w:hint="default" w:ascii="黑体" w:hAnsi="黑体" w:eastAsia="黑体" w:cs="黑体"/>
          <w:sz w:val="18"/>
          <w:szCs w:val="18"/>
          <w:lang w:val="en-US" w:eastAsia="zh-CN"/>
        </w:rPr>
      </w:pPr>
      <w:r>
        <w:rPr>
          <w:rFonts w:hint="default" w:ascii="黑体" w:hAnsi="黑体" w:eastAsia="黑体" w:cs="黑体"/>
          <w:sz w:val="18"/>
          <w:szCs w:val="18"/>
          <w:lang w:val="en-US" w:eastAsia="zh-CN"/>
        </w:rPr>
        <w:drawing>
          <wp:anchor distT="0" distB="0" distL="114300" distR="114300" simplePos="0" relativeHeight="251658240" behindDoc="1" locked="0" layoutInCell="1" allowOverlap="1">
            <wp:simplePos x="0" y="0"/>
            <wp:positionH relativeFrom="column">
              <wp:posOffset>-666750</wp:posOffset>
            </wp:positionH>
            <wp:positionV relativeFrom="paragraph">
              <wp:posOffset>-129540</wp:posOffset>
            </wp:positionV>
            <wp:extent cx="4716145" cy="5922645"/>
            <wp:effectExtent l="0" t="0" r="8255" b="1905"/>
            <wp:wrapThrough wrapText="bothSides">
              <wp:wrapPolygon>
                <wp:start x="0" y="0"/>
                <wp:lineTo x="0" y="21537"/>
                <wp:lineTo x="21551" y="21537"/>
                <wp:lineTo x="21551" y="0"/>
                <wp:lineTo x="0" y="0"/>
              </wp:wrapPolygon>
            </wp:wrapThrough>
            <wp:docPr id="10" name="图片 10" descr="微信截图_2023051216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30512162135"/>
                    <pic:cNvPicPr>
                      <a:picLocks noChangeAspect="1"/>
                    </pic:cNvPicPr>
                  </pic:nvPicPr>
                  <pic:blipFill>
                    <a:blip r:embed="rId4"/>
                    <a:stretch>
                      <a:fillRect/>
                    </a:stretch>
                  </pic:blipFill>
                  <pic:spPr>
                    <a:xfrm>
                      <a:off x="0" y="0"/>
                      <a:ext cx="4716145" cy="5922645"/>
                    </a:xfrm>
                    <a:prstGeom prst="rect">
                      <a:avLst/>
                    </a:prstGeom>
                  </pic:spPr>
                </pic:pic>
              </a:graphicData>
            </a:graphic>
          </wp:anchor>
        </w:drawing>
      </w:r>
    </w:p>
    <w:sectPr>
      <w:pgSz w:w="16838" w:h="11906" w:orient="landscape"/>
      <w:pgMar w:top="1123" w:right="1100" w:bottom="1123" w:left="1100" w:header="708" w:footer="709" w:gutter="0"/>
      <w:cols w:space="2406" w:num="2"/>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E06308"/>
    <w:multiLevelType w:val="singleLevel"/>
    <w:tmpl w:val="E1E06308"/>
    <w:lvl w:ilvl="0" w:tentative="0">
      <w:start w:val="1"/>
      <w:numFmt w:val="decimal"/>
      <w:suff w:val="nothing"/>
      <w:lvlText w:val="%1、"/>
      <w:lvlJc w:val="left"/>
    </w:lvl>
  </w:abstractNum>
  <w:abstractNum w:abstractNumId="1">
    <w:nsid w:val="55003A8A"/>
    <w:multiLevelType w:val="singleLevel"/>
    <w:tmpl w:val="55003A8A"/>
    <w:lvl w:ilvl="0" w:tentative="0">
      <w:start w:val="1"/>
      <w:numFmt w:val="chineseCounting"/>
      <w:suff w:val="nothing"/>
      <w:lvlText w:val="%1、"/>
      <w:lvlJc w:val="left"/>
      <w:rPr>
        <w:rFonts w:hint="eastAsia"/>
      </w:rPr>
    </w:lvl>
  </w:abstractNum>
  <w:abstractNum w:abstractNumId="2">
    <w:nsid w:val="75474BF8"/>
    <w:multiLevelType w:val="singleLevel"/>
    <w:tmpl w:val="75474BF8"/>
    <w:lvl w:ilvl="0" w:tentative="0">
      <w:start w:val="1"/>
      <w:numFmt w:val="chineseCounting"/>
      <w:suff w:val="nothing"/>
      <w:lvlText w:val="（%1）"/>
      <w:lvlJc w:val="left"/>
      <w:rPr>
        <w:rFonts w:hint="eastAsia"/>
      </w:rPr>
    </w:lvl>
  </w:abstractNum>
  <w:abstractNum w:abstractNumId="3">
    <w:nsid w:val="78ADB873"/>
    <w:multiLevelType w:val="singleLevel"/>
    <w:tmpl w:val="78ADB873"/>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4B6A3A"/>
    <w:rsid w:val="007A3103"/>
    <w:rsid w:val="008B7726"/>
    <w:rsid w:val="00D31D50"/>
    <w:rsid w:val="00E15704"/>
    <w:rsid w:val="01621C37"/>
    <w:rsid w:val="08C77334"/>
    <w:rsid w:val="26E73550"/>
    <w:rsid w:val="294946DD"/>
    <w:rsid w:val="4EF671D1"/>
    <w:rsid w:val="53C31587"/>
    <w:rsid w:val="73F40A16"/>
    <w:rsid w:val="7F82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Words>
  <Characters>21</Characters>
  <Lines>1</Lines>
  <Paragraphs>1</Paragraphs>
  <TotalTime>126</TotalTime>
  <ScaleCrop>false</ScaleCrop>
  <LinksUpToDate>false</LinksUpToDate>
  <CharactersWithSpaces>23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2023-05-12T08:36:37Z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