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50" w:lineRule="atLeast"/>
        <w:ind w:left="0" w:firstLine="2880" w:firstLineChars="90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50" w:lineRule="atLeast"/>
        <w:ind w:left="0" w:firstLine="2880" w:firstLineChars="90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50" w:lineRule="atLeast"/>
        <w:ind w:left="0" w:firstLine="3089" w:firstLineChars="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50" w:lineRule="atLeast"/>
        <w:ind w:left="0" w:firstLine="2880" w:firstLineChars="90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50" w:lineRule="atLeast"/>
        <w:ind w:left="0" w:firstLine="2880" w:firstLineChars="90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50" w:lineRule="atLeast"/>
        <w:ind w:left="0" w:firstLine="2880" w:firstLineChars="900"/>
        <w:jc w:val="both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50" w:lineRule="atLeast"/>
        <w:ind w:left="0" w:firstLine="2880" w:firstLineChars="900"/>
        <w:jc w:val="both"/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石政发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24号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450" w:lineRule="atLeast"/>
        <w:ind w:firstLine="2880" w:firstLineChars="80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-SA"/>
        </w:rPr>
      </w:pPr>
    </w:p>
    <w:p>
      <w:pPr>
        <w:pStyle w:val="8"/>
        <w:jc w:val="center"/>
        <w:outlineLvl w:val="0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石城镇传统村落集中连片保护利用</w:t>
      </w:r>
    </w:p>
    <w:p>
      <w:pPr>
        <w:pStyle w:val="8"/>
        <w:jc w:val="center"/>
        <w:outlineLvl w:val="0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示范项目实施方案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为深入贯彻习近平总书记关于传统村落保护的重要指示精神，根据财政部办公厅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住房和城乡建设部办公厅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关于组织申报2024年传统村落集中连片保护利用示范的通知》（财办建〔2024〕15号）等文件精神，进一步做好传统村落集中连片保护利用示范工作，结合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石城镇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实际，制定本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以习近平新时代中国特色社会主义思想为指导，深入贯彻党的二十大精神，认真落实国家、省、市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工作要求，坚持“活态保护、有机发展”的保护发展理念。以传统村落为节点，连点串线成片，充分发挥片区内的历史文化、地方特产、绿色生态、田园风光等特色资源，实现资源规模化、多样化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石城镇</w:t>
      </w:r>
      <w:r>
        <w:rPr>
          <w:rFonts w:hint="eastAsia" w:ascii="仿宋_GB2312" w:hAnsi="仿宋_GB2312" w:eastAsia="仿宋_GB2312" w:cs="仿宋_GB2312"/>
          <w:sz w:val="32"/>
          <w:szCs w:val="32"/>
        </w:rPr>
        <w:t>传统村落特色农文旅产业融合发展，吸引社会资本参与，破解利用传统村落发展产业方式单一、同质化现象突出的问题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/>
        </w:rPr>
        <w:t>二、实施目标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以“千万工程”为引领，以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传统村落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集中连片为主体，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全面提升我镇传统村落的保护水平和利用效益，打造一批具有地域特色、文化内涵和生态价值的传统村落示范片区，推动传统村落保护与乡村旅游、文化创意、特色农业等产业深度融合，实现传统村落的可持续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具体实现以下目标：以传统村落保护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“太行—浊漳河谷”乡村振兴、形成“一村一业”的产业振兴发展格局、打造一批富有特色的农文旅产业品牌、形成传统村落保护发展“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石城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模式”。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）以传统村落保护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推动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“太行—浊漳河谷”乡村振兴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兼顾保护与利用，以发展促保护，实现村落保护与产业发展的良性互动，达到既能保护传统村落的历史文化和景观风貌，又能拉动当地经济增长效益的双赢效果。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助力打造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“一廊两翼”的“太行—浊漳河谷”传统村落集中连片保护利用示范区，示范期实施周期为两年，即（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期末，传统村落中存在的各级保护建筑、传统民居中存在的险情已基本得到排查，并涌现出一批优秀保护修缮及活化利用案例。重点传统村落整体风貌得到有效提升，风貌和谐有序，形成一个集产业、文化、旅游为一体的浊漳河文化带，初步形成太行—浊漳河谷品牌效应，以传统村落、产业带动整条河谷乡村振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）形成“一村一业”的产业振兴发展格局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传统村落集中连片保护利用体系基础上，以各片区为核心带动周边逐步发展历史文化旅游和旅游服务业，最终形成以太行山水、古道驿站、红色老区为主导，村落体验与民俗感知为内容，中药材及农副产品加工、商贸协调的全域发展。构建新兴业态，促进产业兴旺，提升传统村落“造血”功能，构建传统村落自我生存、自我盈利、自我发展能力，实现传统村落的可持续发展。示范末期，重点示范片区形成“一村一业”的产业振兴发展格局，农村居民收入得到显著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）打造一批富有特色的农文旅产业品牌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靠示范期形成的连片区发展成果，充分撬动社会资本投入，在完善期内打造太行-浊漳河谷旅游品牌、开展传统村落品牌塑造和宣介推广，打造一批红色研学品牌、康养旅游品牌、生态农业品牌，支持带动更大范围传统村落保护发展，传统村落乡村振兴进入稳定发展、良性循环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）形成传统村落保护发展“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石城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模式”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探索实践传统村落发展模式创新，围绕传统村落保护与活化利用，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</w:rPr>
        <w:t>平顺“红色、绿色、古色”的生态旅游特色，以独具魅力的文物古建和非遗项目为载体，协同农文旅融合发展，打造“康养-药养-食养”复合业态，落实“双组长”传统村落保护利用领导工作机制，激发村民的主体意识和内生动力，探索形成传统村落保护发展的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石城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模式”。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三、组织机构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建立双组长机制。成立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长任双组长的传统村落集中连片保护利用示范工作领导小组，明确组织领导责任人，切实保障集中连片工作稳固落实推进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长：马跃一    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吴桂林    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副组长：徐延立    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韩焕芳    党委委员、人大主席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耿小宁    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刘泽飞    党委委员、武装部长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武小娟    党委委员、组织委员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  诚    党委委员、纪委书记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石彩丽 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康熙象 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张国强    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段晓波    党群服务中心主任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  静    便民服务中心主任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897" w:firstLineChars="59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陈毓波    退役军人服务站站长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0" w:leftChars="302" w:hanging="1276" w:hangingChars="399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员：各</w:t>
      </w:r>
      <w:r>
        <w:rPr>
          <w:rFonts w:hint="eastAsia" w:ascii="仿宋_GB2312" w:hAnsi="仿宋_GB2312" w:eastAsia="仿宋_GB2312" w:cs="仿宋_GB2312"/>
          <w:sz w:val="32"/>
          <w:szCs w:val="32"/>
        </w:rPr>
        <w:t>传统村落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支部书记和村委主任。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</w:rPr>
        <w:t>传统村落全部成立以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村党支部书记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为组长，指定村级联络人专门负责与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工作领导小组联系。建立从村到乡镇的管理体系，有力保障传统村落保护项目实施管理。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spacing w:before="168" w:beforeAutospacing="0" w:after="0" w:afterAutospacing="0" w:line="600" w:lineRule="exact"/>
        <w:ind w:leftChars="0" w:right="0" w:rightChars="0" w:firstLine="643" w:firstLineChars="200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 w:bidi="ar-SA"/>
        </w:rPr>
        <w:t>四、基本原则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12" w:beforeAutospacing="0" w:after="0" w:afterAutospacing="0" w:line="600" w:lineRule="exact"/>
        <w:ind w:left="0" w:right="0" w:firstLine="384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（一）保护优先、传承利用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12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注重地域文化和传统建筑的保护，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坚持保护第一，正确处理好保护与发展的关系，合理发挥传统村落经济价值、社会价值和文化价值，努力实现历史文化遗产资源的永续保护与有效利用。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12" w:beforeAutospacing="0" w:after="0" w:afterAutospacing="0" w:line="600" w:lineRule="exact"/>
        <w:ind w:left="0" w:right="0" w:firstLine="384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（二）突出特色、有序实施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12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立足石城特色，结合村落地域条件、文化特征、产业结构、资源禀赋、历史遗存等实际情况，采取差异化的保护措施和发展模式，分类有序，统筹推进。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12" w:beforeAutospacing="0" w:after="0" w:afterAutospacing="0" w:line="600" w:lineRule="exact"/>
        <w:ind w:left="0" w:right="0" w:firstLine="384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（三）政府统筹、活态传承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12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以政府主导为主，社会多方参与，带动村民参与，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做到村落结构肌理保护与山水格局保护并重，物质文化遗产保护与非物质文化遗产保护并重，生产生活环境保护与生产生活方式保护并重，力求见人、见物、见生活。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hint="eastAsia" w:ascii="方正黑体_GBK" w:hAnsi="方正黑体_GBK" w:eastAsia="方正黑体_GBK" w:cs="方正黑体_GBK"/>
        </w:rPr>
      </w:pPr>
      <w:bookmarkStart w:id="0" w:name="_Toc28204"/>
      <w:r>
        <w:rPr>
          <w:rFonts w:hint="eastAsia" w:ascii="方正黑体_GBK" w:hAnsi="方正黑体_GBK" w:eastAsia="方正黑体_GBK" w:cs="方正黑体_GBK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</w:rPr>
        <w:t>实施步骤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石城镇</w:t>
      </w:r>
      <w:r>
        <w:rPr>
          <w:rFonts w:hint="eastAsia" w:ascii="仿宋_GB2312" w:hAnsi="仿宋_GB2312" w:eastAsia="仿宋_GB2312" w:cs="仿宋_GB2312"/>
          <w:sz w:val="32"/>
          <w:szCs w:val="32"/>
        </w:rPr>
        <w:t>传统村落集中连片保护利用示范区建设，建立传统村落保护利用体系，打造一批具有地域特色的优势产业，扎实有序地稳步推进产业升级，提升旅游服务质量。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按照分阶段、分步骤实施的思路，示范期两年（2024年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月-202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月），总结经验推广期一年（202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年）。拟分三个阶段开展实施工作：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第一阶段（2024年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月一2024年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着力推动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传统村落集中连片保护利用的基础设施完善、村容村貌提升、传统建筑修复项目。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完成石城村蟒岩自然庄传统村落保护项目设计方案、施工方案、招投标任务及开工建设，并同步开展实施青草凹村、老申峧村传统古村落统一风貌及环境整治任务。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第二阶段（202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月一2025年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11月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底前）</w:t>
      </w:r>
      <w:r>
        <w:rPr>
          <w:rFonts w:hint="eastAsia" w:ascii="楷体_GB2312" w:hAnsi="楷体_GB2312" w:eastAsia="楷体_GB2312" w:cs="楷体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传统村落集中连片保护利用的基础设施完善、村容村貌提升、传统建筑修复项目。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完成石城村蟒岩自然庄保护项目，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以岳家寨、白杨坡、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东庄村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为牵引，往南延伸，形成小片区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连片保护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第三阶段（2026年）</w:t>
      </w:r>
      <w:r>
        <w:rPr>
          <w:rFonts w:hint="eastAsia" w:ascii="楷体_GB2312" w:hAnsi="楷体_GB2312" w:eastAsia="楷体_GB2312" w:cs="楷体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、宣传以及推广示范经验。根据传统村落示范建设工作取得的系列成果，积极搭建会议研讨、新媒体宣传、电台报纸宣传等多方推介宣传平台，发挥出传统村落集中连片保护利用工作应有的社会、经济及文化示范效应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hint="eastAsia" w:ascii="方正黑体_GBK" w:hAnsi="方正黑体_GBK" w:eastAsia="方正黑体_GBK" w:cs="方正黑体_GBK"/>
        </w:rPr>
      </w:pPr>
      <w:bookmarkStart w:id="1" w:name="_Toc28214"/>
      <w:r>
        <w:rPr>
          <w:rFonts w:hint="eastAsia" w:ascii="方正黑体_GBK" w:hAnsi="方正黑体_GBK" w:eastAsia="方正黑体_GBK" w:cs="方正黑体_GBK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</w:rPr>
        <w:t>资金筹措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根据国家和山西省相关文件精神，资金来源主要为中央财政资金、各级政府地方投入和其他社会资金投入3类。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）统筹政策资金投入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在示范期内，通过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级资金纳入财政预算及依法依规整合乡村振兴、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水利、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环境治理、文物保护、农村公益事业一事一议财政奖补、美丽宜居示范村建设等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用于传统村落的保护利用工作。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）多渠道引导社会资本投入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进一步优化政策，引</w:t>
      </w:r>
      <w:bookmarkStart w:id="11" w:name="_GoBack"/>
      <w:bookmarkEnd w:id="11"/>
      <w:r>
        <w:rPr>
          <w:rFonts w:hint="eastAsia" w:ascii="仿宋_GB2312" w:hAnsi="仿宋_GB2312" w:eastAsia="仿宋_GB2312" w:cs="仿宋_GB2312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本土投资商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加大投资规模的基础上，加大招商引资力度，吸引更多企业和社会组织投资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传统</w:t>
      </w:r>
      <w:r>
        <w:rPr>
          <w:rFonts w:hint="eastAsia" w:ascii="仿宋_GB2312" w:hAnsi="仿宋_GB2312" w:eastAsia="仿宋_GB2312" w:cs="仿宋_GB2312"/>
          <w:sz w:val="32"/>
          <w:szCs w:val="32"/>
        </w:rPr>
        <w:t>村落保护，保障传统村落集中连片项目实施。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在资金的使用上，中央财政补助资金主要用于传统村落古建筑修复修缮，县级配套资金用于公共服务、基础设施的完善，社会资金主要用于活化利用领域。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）具体建设内容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以社会资本为主，当地财政资金为辅，争取上级资金为补充的筹资模式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具体建设内容如下表所示：</w:t>
      </w:r>
    </w:p>
    <w:tbl>
      <w:tblPr>
        <w:tblStyle w:val="11"/>
        <w:tblpPr w:leftFromText="180" w:rightFromText="180" w:vertAnchor="text" w:horzAnchor="page" w:tblpX="1112" w:tblpY="922"/>
        <w:tblOverlap w:val="never"/>
        <w:tblW w:w="10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374"/>
        <w:gridCol w:w="1346"/>
        <w:gridCol w:w="895"/>
        <w:gridCol w:w="877"/>
        <w:gridCol w:w="1100"/>
        <w:gridCol w:w="1100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表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2"/>
              </w:rPr>
              <w:t>重点建设项目表（单位：万元）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项目预算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资金筹措方案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中央资金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人居环境改善项目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蟒岩自然庄保护及环境整治项目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东庄村加固真武阁（传统建筑及周边修缮）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老申峧村墙面旧貌恢复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青草凹村墙面旧貌恢复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“太行浊漳河谷”红色文化示范引领项目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岳家寨供销社双代店红背篓精神基地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恢复1958年林州修红旗渠驻白杨坡村生活场景及体验项目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2024—2025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民俗文化示范引领</w:t>
            </w:r>
          </w:p>
        </w:tc>
        <w:tc>
          <w:tcPr>
            <w:tcW w:w="2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东庄村保护唱院戏、刮街、转九曲、耍老拳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2024—2025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民间工艺、平顺泥塑、水磨、打铁铺等项目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2024—2025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白杨坡村非遗乡村活态博物馆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</w:tbl>
    <w:p>
      <w:pPr>
        <w:pStyle w:val="6"/>
        <w:ind w:firstLine="640" w:firstLineChars="200"/>
        <w:outlineLvl w:val="0"/>
      </w:pPr>
      <w:bookmarkStart w:id="2" w:name="_Toc21514"/>
      <w:bookmarkStart w:id="3" w:name="_Toc27153"/>
      <w:bookmarkStart w:id="4" w:name="_Toc10560"/>
      <w:r>
        <w:rPr>
          <w:rFonts w:hint="eastAsia" w:ascii="方正黑体_GBK" w:hAnsi="方正黑体_GBK" w:eastAsia="方正黑体_GBK" w:cs="方正黑体_GBK"/>
          <w:lang w:val="en-US" w:eastAsia="zh-CN"/>
        </w:rPr>
        <w:t>七、</w:t>
      </w:r>
      <w:r>
        <w:rPr>
          <w:rFonts w:hint="eastAsia" w:ascii="方正黑体_GBK" w:hAnsi="方正黑体_GBK" w:eastAsia="方正黑体_GBK" w:cs="方正黑体_GBK"/>
        </w:rPr>
        <w:t>长效机制</w:t>
      </w:r>
      <w:bookmarkEnd w:id="2"/>
      <w:bookmarkEnd w:id="3"/>
      <w:bookmarkEnd w:id="4"/>
    </w:p>
    <w:p>
      <w:pPr>
        <w:pStyle w:val="7"/>
        <w:outlineLvl w:val="1"/>
        <w:rPr>
          <w:rFonts w:hint="eastAsia" w:ascii="楷体_GB2312" w:hAnsi="楷体_GB2312" w:eastAsia="楷体_GB2312" w:cs="楷体_GB2312"/>
          <w:lang w:eastAsia="zh-CN"/>
        </w:rPr>
      </w:pPr>
      <w:bookmarkStart w:id="5" w:name="_Toc29069"/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明确资金保障与管理考核机制</w:t>
      </w:r>
      <w:bookmarkEnd w:id="5"/>
    </w:p>
    <w:p>
      <w:pPr>
        <w:pStyle w:val="7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建立“一年一体检、五年一评估”机制，对传统村落发展阶段特征及定期对保护规划实施状况、规划实施效果进行全过程监测、评估、预警、维护。对实施过程中存在的问题进行总结，完善传统村落警示和退出机制，将历史环境要素，格局肌理损害、传统建筑和非物质文化遗产灭失等体现传统村落状况的指标，每年纳入传统村落保护发展评价体系。在项目实施中开展全过程资金管理，定期审计、定期开展绩效评价，实行跟踪管理。最终实现传统村落全生命周期管理闭环，推动传统村落保护利用工作持续改进优化。</w:t>
      </w:r>
    </w:p>
    <w:p>
      <w:pPr>
        <w:pStyle w:val="7"/>
        <w:outlineLvl w:val="1"/>
        <w:rPr>
          <w:rFonts w:hint="eastAsia" w:ascii="楷体_GB2312" w:hAnsi="楷体_GB2312" w:eastAsia="楷体_GB2312" w:cs="楷体_GB2312"/>
          <w:lang w:eastAsia="zh-CN"/>
        </w:rPr>
      </w:pPr>
      <w:bookmarkStart w:id="6" w:name="_Toc6838"/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构建多元利益的共同富裕机制</w:t>
      </w:r>
      <w:bookmarkEnd w:id="6"/>
    </w:p>
    <w:p>
      <w:pPr>
        <w:pStyle w:val="7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构建组织灵活、运行高效、产业多元、分配合理的集体经济运行新机制，使村民成为古村保护利用的推动者和享用者，带动村民增收致富、村集体发展壮大。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生活富裕是传统村落保护发展的最终目标。要突出农民主体地位，把保障农民利益放在第一位置，把促进农民持续增收作为重要任务，积极构建多元利益链接机制，让村集体、村民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得到</w:t>
      </w:r>
      <w:r>
        <w:rPr>
          <w:rFonts w:hint="eastAsia" w:ascii="仿宋_GB2312" w:hAnsi="仿宋_GB2312" w:eastAsia="仿宋_GB2312" w:cs="仿宋_GB2312"/>
          <w:sz w:val="32"/>
          <w:szCs w:val="32"/>
        </w:rPr>
        <w:t>全产业链增值收益，最大限度共享传统村落保护发展成果。</w:t>
      </w:r>
    </w:p>
    <w:p>
      <w:pPr>
        <w:pStyle w:val="7"/>
        <w:outlineLvl w:val="1"/>
        <w:rPr>
          <w:rFonts w:hint="eastAsia" w:eastAsia="楷体_GB2312"/>
          <w:lang w:eastAsia="zh-CN"/>
        </w:rPr>
      </w:pPr>
      <w:bookmarkStart w:id="7" w:name="_Toc8763"/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建立党建引领，专家团队长效陪伴式成长机制</w:t>
      </w:r>
      <w:bookmarkEnd w:id="7"/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积极探索党建引领传统村落保护利用促进乡村振兴新路径，充实村庄党组织核心人员队伍，通过向各村党支部派驻第一书记、乡村振兴专职党员义工、传统村落建设发展技术顾问等多种方式，增强基层党组织引领乡村发展建设的能力。探索党建引领下的“农户+合作社+龙头企业+文旅”模式，打造乡村文化旅游等品牌产业项目，引导资源进村、资金进村、焦点进村，努力提升村级集体经济和村民收入，凝聚起传统村落的强大新动力。针对各村具体情况，引入规划、建筑、景观、文创等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</w:t>
      </w:r>
      <w:r>
        <w:rPr>
          <w:rFonts w:ascii="仿宋_GB2312" w:hAnsi="仿宋_GB2312" w:eastAsia="仿宋_GB2312" w:cs="仿宋_GB2312"/>
          <w:sz w:val="32"/>
          <w:szCs w:val="32"/>
        </w:rPr>
        <w:t>技术团队，以及热心乡村的社会组织等多方力量参与，有效发挥不同角色的优势，实现村庄资源全要素盘点、村庄发展全方位谋划，破解传统村落可持续发展能力不足的问题。</w:t>
      </w:r>
    </w:p>
    <w:p>
      <w:pPr>
        <w:pStyle w:val="7"/>
        <w:outlineLvl w:val="1"/>
        <w:rPr>
          <w:rFonts w:hint="eastAsia" w:ascii="楷体_GB2312" w:hAnsi="楷体_GB2312" w:eastAsia="楷体_GB2312" w:cs="楷体_GB2312"/>
          <w:lang w:eastAsia="zh-CN"/>
        </w:rPr>
      </w:pPr>
      <w:bookmarkStart w:id="8" w:name="_Toc10018"/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构建传统村落在地活化利用机制</w:t>
      </w:r>
      <w:bookmarkEnd w:id="8"/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增强传统村落自身造血功能，</w:t>
      </w:r>
      <w:r>
        <w:rPr>
          <w:rFonts w:ascii="仿宋_GB2312" w:hAnsi="仿宋_GB2312" w:eastAsia="仿宋_GB2312" w:cs="仿宋_GB2312"/>
          <w:sz w:val="32"/>
          <w:szCs w:val="32"/>
        </w:rPr>
        <w:t>以传统村落为核心带动全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>广大乡村地区整体振兴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ascii="仿宋_GB2312" w:hAnsi="仿宋_GB2312" w:eastAsia="仿宋_GB2312" w:cs="仿宋_GB2312"/>
          <w:sz w:val="32"/>
          <w:szCs w:val="32"/>
        </w:rPr>
        <w:t>充分挖掘传统村落闲置空间资源，创新清单式建筑管控新模式，引导多方力量参与传统建筑和历史要素保护利用，使传统建筑适应现代生产生活需要，破解传统村落保护与居民生活条件改善之间的矛盾。</w:t>
      </w:r>
    </w:p>
    <w:p>
      <w:pPr>
        <w:pStyle w:val="7"/>
        <w:outlineLvl w:val="1"/>
        <w:rPr>
          <w:rFonts w:hint="eastAsia" w:ascii="楷体_GB2312" w:hAnsi="楷体_GB2312" w:eastAsia="楷体_GB2312" w:cs="楷体_GB2312"/>
          <w:lang w:eastAsia="zh-CN"/>
        </w:rPr>
      </w:pPr>
      <w:bookmarkStart w:id="9" w:name="_Toc6334"/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建立产业“造血”长效机制</w:t>
      </w:r>
      <w:bookmarkEnd w:id="9"/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坚持在保护中活化、在活化中保护，根据传统村落的区位交通、人文资源、自然资源、产业优势和美丽乡村建设基础，找准产业发展路径，因地制宜发展新业态，推动“输血”式保护向“造血”式活化利用转变，配套完善产业发展激励扶持机制，持续激发村庄活力，破解传统村落可持续发展能力不足的问题。</w:t>
      </w:r>
    </w:p>
    <w:p>
      <w:pPr>
        <w:pStyle w:val="7"/>
        <w:outlineLvl w:val="1"/>
        <w:rPr>
          <w:rFonts w:hint="eastAsia" w:ascii="楷体_GB2312" w:hAnsi="楷体_GB2312" w:eastAsia="楷体_GB2312" w:cs="楷体_GB2312"/>
          <w:lang w:eastAsia="zh-CN"/>
        </w:rPr>
      </w:pPr>
      <w:bookmarkStart w:id="10" w:name="_Toc2790"/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</w:rPr>
        <w:t>建立宣传与传播机制</w:t>
      </w:r>
      <w:bookmarkEnd w:id="10"/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加强宣传，营造氛围。保护传统村落历史文化资源是每个公民的义务和责任，通过各种媒体加大对工程项目宣传力度，普及历史文化资源保护知识，增强全社会对历史文化资源的保护意识，营造良好的社会氛围，充分征求群众意见，争取群众认同支持，主动配合保护工程实施，结合旅游发展规划开展工作，实现文物保护和旅游的有机结合，积聚社会各方面力量做好保护工程实施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石城镇人民政府</w:t>
      </w:r>
    </w:p>
    <w:p>
      <w:pPr>
        <w:adjustRightInd w:val="0"/>
        <w:snapToGrid w:val="0"/>
        <w:spacing w:line="600" w:lineRule="exact"/>
        <w:ind w:firstLine="5016" w:firstLineChars="19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2024年9月5日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36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adjustRightInd w:val="0"/>
      <w:snapToGrid w:val="0"/>
      <w:spacing w:line="600" w:lineRule="exact"/>
      <w:outlineLvl w:val="0"/>
    </w:pPr>
    <w:rPr>
      <w:rFonts w:ascii="Times New Roman" w:hAnsi="Times New Roman" w:eastAsia="黑体" w:cs="Times New Roman"/>
      <w:sz w:val="32"/>
    </w:rPr>
  </w:style>
  <w:style w:type="paragraph" w:styleId="6">
    <w:name w:val="heading 2"/>
    <w:basedOn w:val="5"/>
    <w:next w:val="1"/>
    <w:unhideWhenUsed/>
    <w:qFormat/>
    <w:uiPriority w:val="0"/>
    <w:pPr>
      <w:outlineLvl w:val="1"/>
    </w:pPr>
  </w:style>
  <w:style w:type="paragraph" w:styleId="7">
    <w:name w:val="heading 3"/>
    <w:basedOn w:val="1"/>
    <w:next w:val="1"/>
    <w:unhideWhenUsed/>
    <w:qFormat/>
    <w:uiPriority w:val="0"/>
    <w:pPr>
      <w:adjustRightInd w:val="0"/>
      <w:snapToGrid w:val="0"/>
      <w:spacing w:line="600" w:lineRule="exact"/>
      <w:ind w:firstLine="643" w:firstLineChars="200"/>
      <w:outlineLvl w:val="2"/>
    </w:pPr>
    <w:rPr>
      <w:rFonts w:ascii="仿宋_GB2312" w:hAnsi="仿宋_GB2312" w:eastAsia="仿宋_GB2312" w:cs="仿宋_GB2312"/>
      <w:b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仿宋_GB2312" w:hAnsi="Times New Roman" w:eastAsia="仿宋" w:cs="Times New Roman"/>
    </w:rPr>
  </w:style>
  <w:style w:type="paragraph" w:styleId="8">
    <w:name w:val="caption"/>
    <w:basedOn w:val="1"/>
    <w:next w:val="1"/>
    <w:qFormat/>
    <w:uiPriority w:val="35"/>
    <w:rPr>
      <w:rFonts w:hint="eastAsia" w:ascii="Arial" w:hAnsi="Arial" w:eastAsia="黑体"/>
      <w:sz w:val="20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4328</Words>
  <Characters>4465</Characters>
  <Lines>0</Lines>
  <Paragraphs>0</Paragraphs>
  <TotalTime>3</TotalTime>
  <ScaleCrop>false</ScaleCrop>
  <LinksUpToDate>false</LinksUpToDate>
  <CharactersWithSpaces>4530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2024-09-04T15:05:00Z</dcterms:created>
  <dc:creator>WPS_1606204001</dc:creator>
  <cp:lastModifiedBy>Administrator</cp:lastModifiedBy>
  <cp:lastPrinted>2024-09-06T10:31:21Z</cp:lastPrinted>
  <dcterms:modified xsi:type="dcterms:W3CDTF">2024-09-06T10:32:25Z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4E04E71FC5F8415CB050EE480C2E707C_11</vt:lpwstr>
  </property>
</Properties>
</file>