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汉仪仿宋简" w:hAnsi="汉仪仿宋简" w:eastAsia="汉仪仿宋简" w:cs="汉仪仿宋简"/>
          <w:szCs w:val="32"/>
        </w:rPr>
      </w:pPr>
      <w:bookmarkStart w:id="0" w:name="_GoBack"/>
      <w:bookmarkEnd w:id="0"/>
      <w:r>
        <w:rPr>
          <w:rFonts w:hint="eastAsia"/>
        </w:rPr>
        <w:t>平顺县苗庄镇202</w:t>
      </w:r>
      <w:r>
        <w:rPr>
          <w:rFonts w:hint="eastAsia"/>
          <w:lang w:eastAsia="zh-CN"/>
        </w:rPr>
        <w:t>6</w:t>
      </w:r>
      <w:r>
        <w:rPr>
          <w:rFonts w:hint="eastAsia"/>
        </w:rPr>
        <w:t>年行政检查工作计划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为持续规范执法行为、增强依法行政能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力，提高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行政执法工作要求，依据相关文件规定及县司法局工作部署，结合我镇实际，制定2026年度行政执法检查工作计划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一、检查主体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  苗庄镇综合行政执法队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二、检查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区域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  苗庄镇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辖区10个行政村。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三、检查事项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 xml:space="preserve">    苗庄镇承接的行政执法事项。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四、检查时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段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  202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6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年全年不定期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巡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查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</w:pPr>
      <w:r>
        <w:rPr>
          <w:rFonts w:hint="eastAsia" w:ascii="汉仪仿宋简" w:hAnsi="汉仪仿宋简" w:eastAsia="汉仪仿宋简" w:cs="汉仪仿宋简"/>
          <w:sz w:val="32"/>
          <w:szCs w:val="32"/>
        </w:rPr>
        <w:t>五、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检查要求：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1.规范执法程序：严格执行“双随机、一公开”，检查须2名以上执法人员参与，亮证执法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，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做到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程序规范。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2.强化问题整改：对发现的隐患与违规行为，分类建立台账，明确整改责任、时限与标准；重大问题及时上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报上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级主管部门。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3.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严守执法纪律：执法人员须廉洁自律、文明执法，严禁吃拿卡要、徇私枉法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，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接受社会监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督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4.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加强普法宣传：结合检查开展法律法规宣传，提升群众守法意识，从源头减少违法违规行为</w:t>
      </w: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>。</w:t>
      </w:r>
    </w:p>
    <w:p>
      <w:pPr>
        <w:rPr>
          <w:rFonts w:hint="eastAsia" w:ascii="汉仪仿宋简" w:hAnsi="汉仪仿宋简" w:eastAsia="汉仪仿宋简" w:cs="汉仪仿宋简"/>
          <w:sz w:val="32"/>
          <w:szCs w:val="32"/>
        </w:rPr>
      </w:pPr>
      <w:r>
        <w:rPr>
          <w:rFonts w:hint="eastAsia" w:ascii="汉仪仿宋简" w:hAnsi="汉仪仿宋简" w:eastAsia="汉仪仿宋简" w:cs="汉仪仿宋简"/>
          <w:sz w:val="32"/>
          <w:szCs w:val="32"/>
          <w:lang w:eastAsia="zh-CN"/>
        </w:rPr>
        <w:t xml:space="preserve">    5.做</w:t>
      </w:r>
      <w:r>
        <w:rPr>
          <w:rFonts w:hint="eastAsia" w:ascii="汉仪仿宋简" w:hAnsi="汉仪仿宋简" w:eastAsia="汉仪仿宋简" w:cs="汉仪仿宋简"/>
          <w:sz w:val="32"/>
          <w:szCs w:val="32"/>
        </w:rPr>
        <w:t>好资料归档：建立健全执法检查档案，规范整理检查记录、整改文书、处罚决定等资料，确保可追溯、可核查。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2733"/>
    <w:rsid w:val="7590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422</Characters>
  <Lines>0</Lines>
  <Paragraphs>0</Paragraphs>
  <TotalTime>0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2025-08-21T13:29:00Z</dcterms:created>
  <dc:creator>iPhone</dc:creator>
  <cp:lastModifiedBy>Administrator</cp:lastModifiedBy>
  <dcterms:modified xsi:type="dcterms:W3CDTF">2026-04-14T09:08:50Z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8BF6B2D9CBB843C3BBCD6C1BEE457C73_13</vt:lpwstr>
  </property>
</Properties>
</file>