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平顺县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/>
          <w:b/>
          <w:bCs/>
          <w:sz w:val="36"/>
          <w:szCs w:val="36"/>
        </w:rPr>
        <w:t>农业生产托管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服务</w:t>
      </w:r>
      <w:r>
        <w:rPr>
          <w:rFonts w:hint="eastAsia" w:ascii="黑体" w:hAnsi="黑体" w:eastAsia="黑体"/>
          <w:b/>
          <w:bCs/>
          <w:sz w:val="36"/>
          <w:szCs w:val="36"/>
        </w:rPr>
        <w:t>试点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工作</w:t>
      </w:r>
    </w:p>
    <w:p>
      <w:pPr>
        <w:spacing w:beforeAutospacing="0" w:afterAutospacing="0" w:line="600" w:lineRule="exact"/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组织实施方案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征求意见稿）</w:t>
      </w:r>
    </w:p>
    <w:bookmarkEnd w:id="0"/>
    <w:p>
      <w:pPr>
        <w:spacing w:beforeAutospacing="0" w:afterAutospacing="0" w:line="600" w:lineRule="exac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 xml:space="preserve">      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/>
          <w:sz w:val="32"/>
          <w:szCs w:val="32"/>
        </w:rPr>
        <w:t>农业农村厅办公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/>
          <w:sz w:val="32"/>
          <w:szCs w:val="32"/>
        </w:rPr>
        <w:t>关于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印发2023年度</w:t>
      </w:r>
      <w:r>
        <w:rPr>
          <w:rFonts w:hint="eastAsia" w:ascii="仿宋_GB2312" w:hAnsi="仿宋_GB2312" w:eastAsia="仿宋_GB2312"/>
          <w:sz w:val="32"/>
          <w:szCs w:val="32"/>
        </w:rPr>
        <w:t>农业生产托管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/>
          <w:sz w:val="32"/>
          <w:szCs w:val="32"/>
        </w:rPr>
        <w:t>试点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工作指导意见</w:t>
      </w:r>
      <w:r>
        <w:rPr>
          <w:rFonts w:hint="eastAsia" w:ascii="仿宋_GB2312" w:hAnsi="仿宋_GB2312" w:eastAsia="仿宋_GB2312"/>
          <w:sz w:val="32"/>
          <w:szCs w:val="32"/>
        </w:rPr>
        <w:t>的通知》（晋农办发〔20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/>
          <w:sz w:val="32"/>
          <w:szCs w:val="32"/>
        </w:rPr>
        <w:t>，扎实推进我县农业生产托管试点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工作顺利实施</w:t>
      </w:r>
      <w:r>
        <w:rPr>
          <w:rFonts w:hint="eastAsia" w:ascii="仿宋_GB2312" w:hAnsi="仿宋_GB2312" w:eastAsia="仿宋_GB2312"/>
          <w:sz w:val="32"/>
          <w:szCs w:val="32"/>
        </w:rPr>
        <w:t>，结合我县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农业生产</w:t>
      </w:r>
      <w:r>
        <w:rPr>
          <w:rFonts w:hint="eastAsia" w:ascii="仿宋_GB2312" w:hAnsi="仿宋_GB2312" w:eastAsia="仿宋_GB2312"/>
          <w:sz w:val="32"/>
          <w:szCs w:val="32"/>
        </w:rPr>
        <w:t>实际，特制定本方案。</w:t>
      </w:r>
    </w:p>
    <w:p>
      <w:pPr>
        <w:numPr>
          <w:ilvl w:val="0"/>
          <w:numId w:val="1"/>
        </w:numPr>
        <w:spacing w:beforeAutospacing="0" w:afterAutospacing="0" w:line="600" w:lineRule="exact"/>
        <w:ind w:firstLine="642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Autospacing="0" w:afterAutospacing="0" w:line="240" w:lineRule="auto"/>
        <w:ind w:firstLine="640" w:firstLineChars="200"/>
        <w:rPr>
          <w:rFonts w:hint="eastAsia" w:ascii="楷体" w:hAnsi="楷体" w:eastAsia="楷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县国土总面积1550平方公里，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辖5镇6乡，151个行政村，</w:t>
      </w:r>
      <w:r>
        <w:rPr>
          <w:rFonts w:hint="eastAsia" w:ascii="仿宋" w:hAnsi="仿宋" w:eastAsia="仿宋"/>
          <w:sz w:val="32"/>
          <w:szCs w:val="32"/>
        </w:rPr>
        <w:t>耕地面积21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.51</w:t>
      </w:r>
      <w:r>
        <w:rPr>
          <w:rFonts w:hint="eastAsia" w:ascii="仿宋" w:hAnsi="仿宋" w:eastAsia="仿宋"/>
          <w:sz w:val="32"/>
          <w:szCs w:val="32"/>
        </w:rPr>
        <w:t>万亩，其中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家庭承包面积19万亩，承包农户数3.84万户，户均承包耕地4.95亩。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2023年粮食播种面积达到14.73万亩。其中小麦播种面积0.75万亩，玉米播种面积9.15万亩，大豆播种面积0.47万亩，大豆玉米带状复合种植面积0.2万亩，薯类播种面积2.4万亩，谷子播种面积1.7万亩，高粱播种面积0.25万亩，油料播种面积0.18万亩，发展花椒8.4万亩。截至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目前，全县拥有拖拉机885台，其中大中型拖拉机206台，小型拖拉机679台，拖拉机配套农具达到1744台。</w:t>
      </w:r>
    </w:p>
    <w:p>
      <w:pPr>
        <w:ind w:firstLine="642" w:firstLineChars="200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目标任务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聚焦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玉米、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杂粮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、薯类</w:t>
      </w:r>
      <w:r>
        <w:rPr>
          <w:rFonts w:hint="eastAsia" w:ascii="仿宋" w:hAnsi="仿宋" w:eastAsia="仿宋"/>
          <w:sz w:val="32"/>
          <w:szCs w:val="32"/>
        </w:rPr>
        <w:t>等主要粮食作物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拓宽服务作物品种，积极探索发展花椒、党参、连翘等中药材、旱地蔬菜等特色经济作物生产社会化服务，</w:t>
      </w:r>
      <w:r>
        <w:rPr>
          <w:rFonts w:hint="eastAsia" w:ascii="仿宋" w:hAnsi="仿宋" w:eastAsia="仿宋"/>
          <w:sz w:val="32"/>
          <w:szCs w:val="32"/>
        </w:rPr>
        <w:t>支持农业生产托管服务关键环节和薄弱环节，为小农户统一提供专业化、规模化集中连片托管服务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鼓励各乡镇将移民村、脱贫攻坚易地搬迁村纳入托管范围，切实解决移民搬迁群众“种地远、种地难”实际问题，探索我县撂荒地托管路径，壮大村集体经济，促进农户增收。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目标任务：完成任务面积5.07</w:t>
      </w:r>
      <w:r>
        <w:rPr>
          <w:rFonts w:hint="eastAsia" w:ascii="仿宋" w:hAnsi="仿宋" w:eastAsia="仿宋"/>
          <w:sz w:val="32"/>
          <w:szCs w:val="32"/>
        </w:rPr>
        <w:t>万亩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根据上年度各乡镇完成托管面积情况，结合11个乡镇耕地确权面积及地貌特征，按比例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进行分配。</w:t>
      </w:r>
    </w:p>
    <w:p>
      <w:pPr>
        <w:ind w:firstLine="642" w:firstLineChars="200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</w:rPr>
        <w:t>实施内容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(一)补助作物品种及实施区域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项目试点补助的作物有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玉米、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、薯类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等粮食产业和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中药材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经济林、旱地蔬菜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特色产业，安排在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全县11个乡镇中适宜开展农业生产托管服务的行政村进行实施。允许跨乡镇实施托管服务。</w:t>
      </w:r>
    </w:p>
    <w:p>
      <w:pPr>
        <w:wordWrap w:val="0"/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（二）补助对象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经向社会公开规范择优遴选，具有一定生产经营规模和社会化服务能力，并</w:t>
      </w:r>
      <w:r>
        <w:rPr>
          <w:rFonts w:hint="eastAsia" w:ascii="仿宋" w:hAnsi="仿宋" w:eastAsia="仿宋"/>
          <w:sz w:val="32"/>
          <w:szCs w:val="32"/>
        </w:rPr>
        <w:t>参与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县农业生产托管</w:t>
      </w:r>
      <w:r>
        <w:rPr>
          <w:rFonts w:hint="eastAsia" w:ascii="仿宋" w:hAnsi="仿宋" w:eastAsia="仿宋"/>
          <w:sz w:val="32"/>
          <w:szCs w:val="32"/>
          <w:lang w:eastAsia="zh-CN"/>
        </w:rPr>
        <w:t>试点工作</w:t>
      </w:r>
      <w:r>
        <w:rPr>
          <w:rFonts w:hint="eastAsia" w:ascii="仿宋" w:hAnsi="仿宋" w:eastAsia="仿宋"/>
          <w:sz w:val="32"/>
          <w:szCs w:val="32"/>
        </w:rPr>
        <w:t>的服务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主体。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(三)补助环节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围绕主导产业、突出重点环节、扩大覆盖范围、集中连片推进”的原则确定主要补助环节，结合农业生产实际情况，采取“全托管”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包括耕、种、防、收等服务环节）</w:t>
      </w:r>
      <w:r>
        <w:rPr>
          <w:rFonts w:hint="eastAsia" w:ascii="仿宋" w:hAnsi="仿宋" w:eastAsia="仿宋"/>
          <w:sz w:val="32"/>
          <w:szCs w:val="32"/>
        </w:rPr>
        <w:t>和“半托管”(包括耕、种、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防、</w:t>
      </w:r>
      <w:r>
        <w:rPr>
          <w:rFonts w:hint="eastAsia" w:ascii="仿宋" w:hAnsi="仿宋" w:eastAsia="仿宋"/>
          <w:sz w:val="32"/>
          <w:szCs w:val="32"/>
        </w:rPr>
        <w:t>收等选择性托管的部分服务环节)两种服务模式开展农业生产托管服务。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(四)补助标准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根据产业发展、托管服务市场等实际情况，</w:t>
      </w:r>
      <w:r>
        <w:rPr>
          <w:rFonts w:ascii="仿宋" w:hAnsi="仿宋" w:eastAsia="仿宋"/>
          <w:color w:val="000000"/>
          <w:kern w:val="0"/>
          <w:sz w:val="32"/>
          <w:szCs w:val="32"/>
          <w:lang w:val="en-US" w:eastAsia="zh-CN" w:bidi="ar"/>
        </w:rPr>
        <w:t>坚持以市场为主导，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仿宋_GB2312" w:hAns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/>
          <w:sz w:val="32"/>
          <w:szCs w:val="32"/>
        </w:rPr>
        <w:t>农业农村厅办公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/>
          <w:sz w:val="32"/>
          <w:szCs w:val="32"/>
        </w:rPr>
        <w:t>关于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印发2023年度</w:t>
      </w:r>
      <w:r>
        <w:rPr>
          <w:rFonts w:hint="eastAsia" w:ascii="仿宋_GB2312" w:hAnsi="仿宋_GB2312" w:eastAsia="仿宋_GB2312"/>
          <w:sz w:val="32"/>
          <w:szCs w:val="32"/>
        </w:rPr>
        <w:t>农业生产托管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/>
          <w:sz w:val="32"/>
          <w:szCs w:val="32"/>
        </w:rPr>
        <w:t>试点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工作指导意见</w:t>
      </w:r>
      <w:r>
        <w:rPr>
          <w:rFonts w:hint="eastAsia" w:ascii="仿宋_GB2312" w:hAnsi="仿宋_GB2312" w:eastAsia="仿宋_GB2312"/>
          <w:sz w:val="32"/>
          <w:szCs w:val="32"/>
        </w:rPr>
        <w:t>的通知》</w:t>
      </w:r>
      <w:r>
        <w:rPr>
          <w:rFonts w:ascii="仿宋" w:hAnsi="仿宋" w:eastAsia="仿宋"/>
          <w:color w:val="000000"/>
          <w:kern w:val="0"/>
          <w:sz w:val="32"/>
          <w:szCs w:val="32"/>
          <w:lang w:val="en-US" w:eastAsia="zh-CN" w:bidi="ar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原则上财政补助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</w:t>
      </w:r>
      <w:r>
        <w:rPr>
          <w:rFonts w:hint="eastAsia" w:ascii="仿宋" w:hAnsi="仿宋" w:eastAsia="仿宋"/>
          <w:sz w:val="32"/>
          <w:szCs w:val="32"/>
        </w:rPr>
        <w:t>服务价格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比例不超过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0%，单季作物亩均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各关键环节</w:t>
      </w:r>
      <w:r>
        <w:rPr>
          <w:rFonts w:hint="eastAsia" w:ascii="仿宋" w:hAnsi="仿宋" w:eastAsia="仿宋"/>
          <w:sz w:val="32"/>
          <w:szCs w:val="32"/>
        </w:rPr>
        <w:t>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总量</w:t>
      </w:r>
      <w:r>
        <w:rPr>
          <w:rFonts w:hint="eastAsia" w:ascii="仿宋" w:hAnsi="仿宋" w:eastAsia="仿宋"/>
          <w:sz w:val="32"/>
          <w:szCs w:val="32"/>
        </w:rPr>
        <w:t>不超过1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服务主体根据当地市场价格向农户收取补助后的差价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重点支持小农户接受社会化服务，对接受服务的单个规模经营主体的财政补助规模上限为5万元，防止“政策垒大户”。已享受相同项目补贴的不再重复享受。</w:t>
      </w:r>
    </w:p>
    <w:p>
      <w:pPr>
        <w:ind w:firstLine="562" w:firstLineChars="200"/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（1）粮食作物托管服务各环节指导价格及补助标准</w:t>
      </w:r>
    </w:p>
    <w:p>
      <w:pPr>
        <w:wordWrap w:val="0"/>
        <w:spacing w:beforeAutospacing="0" w:afterAutospacing="0" w:line="600" w:lineRule="exact"/>
        <w:ind w:firstLine="480" w:firstLineChars="200"/>
        <w:jc w:val="center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青羊镇、西沟乡、石城镇、阳高乡、北耽车乡、苗庄镇、北社乡</w:t>
      </w:r>
    </w:p>
    <w:p>
      <w:pPr>
        <w:wordWrap w:val="0"/>
        <w:spacing w:beforeAutospacing="0" w:afterAutospacing="0" w:line="600" w:lineRule="exact"/>
        <w:ind w:firstLine="480" w:firstLineChars="200"/>
        <w:jc w:val="center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各环节指导价格及补助标准（一）</w:t>
      </w:r>
    </w:p>
    <w:tbl>
      <w:tblPr>
        <w:tblStyle w:val="18"/>
        <w:tblW w:w="848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685"/>
        <w:gridCol w:w="1665"/>
        <w:gridCol w:w="2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服务环节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市场指导价格（元/亩）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补助标准（元/亩）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耕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旋耕（深翻）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玉米、杂粮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防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除草防治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收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玉米、杂粮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4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秸秆粉碎（或离田）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Autospacing="0" w:afterAutospacing="0" w:line="120" w:lineRule="auto"/>
        <w:jc w:val="center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Autospacing="0" w:afterAutospacing="0" w:line="120" w:lineRule="auto"/>
        <w:jc w:val="center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Autospacing="0" w:afterAutospacing="0" w:line="120" w:lineRule="auto"/>
        <w:jc w:val="center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玉峡关镇、东寺头乡、龙溪镇、虹梯关乡各环节指导价格及补助标准（二）</w:t>
      </w:r>
    </w:p>
    <w:tbl>
      <w:tblPr>
        <w:tblStyle w:val="18"/>
        <w:tblW w:w="846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640"/>
        <w:gridCol w:w="1695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环节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市场指导价格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（元/亩）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耕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旋耕（深翻）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薯类、玉米、杂粮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防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除草防治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收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玉米、杂粮、薯类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秸秆粉碎（或离田）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>
      <w:pPr>
        <w:wordWrap w:val="0"/>
        <w:spacing w:beforeAutospacing="0" w:afterAutospacing="0" w:line="600" w:lineRule="exact"/>
        <w:ind w:firstLine="562" w:firstLineChars="200"/>
        <w:jc w:val="left"/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（2）花椒树托管指导价格及补助标准</w:t>
      </w:r>
    </w:p>
    <w:tbl>
      <w:tblPr>
        <w:tblStyle w:val="18"/>
        <w:tblW w:w="84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02"/>
        <w:gridCol w:w="1827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服务环节</w:t>
            </w:r>
          </w:p>
        </w:tc>
        <w:tc>
          <w:tcPr>
            <w:tcW w:w="4529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市场指导价格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04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（元/亩）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Merge w:val="restart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管</w:t>
            </w:r>
          </w:p>
        </w:tc>
        <w:tc>
          <w:tcPr>
            <w:tcW w:w="2702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剪枝</w:t>
            </w:r>
          </w:p>
        </w:tc>
        <w:tc>
          <w:tcPr>
            <w:tcW w:w="18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80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30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73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喷药</w:t>
            </w:r>
          </w:p>
        </w:tc>
        <w:tc>
          <w:tcPr>
            <w:tcW w:w="18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60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刷白</w:t>
            </w:r>
          </w:p>
        </w:tc>
        <w:tc>
          <w:tcPr>
            <w:tcW w:w="18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25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Autospacing="0" w:afterAutospacing="0" w:line="120" w:lineRule="auto"/>
        <w:jc w:val="both"/>
        <w:rPr>
          <w:rFonts w:ascii="仿宋_GB2312" w:hAnsi="仿宋_GB2312" w:eastAsia="仿宋_GB2312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wordWrap w:val="0"/>
        <w:spacing w:beforeAutospacing="0" w:afterAutospacing="0" w:line="600" w:lineRule="exact"/>
        <w:ind w:firstLine="562" w:firstLineChars="200"/>
        <w:jc w:val="left"/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（3）中药材托管指导价格及补助标准</w:t>
      </w:r>
    </w:p>
    <w:tbl>
      <w:tblPr>
        <w:tblStyle w:val="18"/>
        <w:tblW w:w="84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675"/>
        <w:gridCol w:w="1854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服务环节</w:t>
            </w:r>
          </w:p>
        </w:tc>
        <w:tc>
          <w:tcPr>
            <w:tcW w:w="4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市场指导价格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（元/亩）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耕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旋耕（深翻）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播种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移栽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防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喷药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收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机收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spacing w:beforeAutospacing="0" w:afterAutospacing="0" w:line="12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Autospacing="0" w:afterAutospacing="0" w:line="120" w:lineRule="auto"/>
        <w:jc w:val="both"/>
        <w:rPr>
          <w:rFonts w:hint="default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备注：按照项目服务时间内各环节顺序依次补助，资金达到上限即服务补助结束。“防”作业环节补助面积亩数需参照机械专业监测传感器数据。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(五)项目实施时间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月。</w:t>
      </w:r>
    </w:p>
    <w:p>
      <w:pPr>
        <w:ind w:firstLine="642" w:firstLineChars="200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/>
          <w:bCs/>
          <w:sz w:val="32"/>
          <w:szCs w:val="32"/>
        </w:rPr>
        <w:t>实施流程</w:t>
      </w:r>
    </w:p>
    <w:p>
      <w:pPr>
        <w:pStyle w:val="14"/>
        <w:keepNext w:val="0"/>
        <w:keepLines w:val="0"/>
        <w:suppressLineNumbers w:val="0"/>
        <w:spacing w:before="0" w:beforeAutospacing="0" w:after="0" w:afterAutospacing="0"/>
        <w:ind w:right="0"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 w:bidi="ar-SA"/>
        </w:rPr>
        <w:t>(一)确定服务主体</w:t>
      </w:r>
    </w:p>
    <w:p>
      <w:pPr>
        <w:pStyle w:val="14"/>
        <w:keepNext w:val="0"/>
        <w:keepLines w:val="0"/>
        <w:suppressLineNumbers w:val="0"/>
        <w:spacing w:before="0" w:beforeAutospacing="0" w:after="0" w:afterAutospacing="0"/>
        <w:ind w:right="0" w:firstLine="640" w:firstLineChars="200"/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公开规范择优选择托管服务组织作为项目实施主体，实施主体可以是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Style w:val="13"/>
          <w:rFonts w:hint="eastAsia" w:ascii="仿宋" w:hAnsi="仿宋" w:eastAsia="仿宋"/>
          <w:sz w:val="32"/>
          <w:szCs w:val="32"/>
        </w:rPr>
        <w:t>一定规模、服务能力较强的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农机户、农户自愿组成的合作组织、家庭农场、农民专业合作社、农村集体经济组织、供销合作社以及农业企业</w:t>
      </w:r>
      <w:r>
        <w:rPr>
          <w:rStyle w:val="13"/>
          <w:rFonts w:hint="eastAsia" w:ascii="仿宋" w:hAnsi="仿宋" w:eastAsia="仿宋"/>
          <w:sz w:val="32"/>
          <w:szCs w:val="32"/>
        </w:rPr>
        <w:t>等农业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社会化服务</w:t>
      </w:r>
      <w:r>
        <w:rPr>
          <w:rStyle w:val="13"/>
          <w:rFonts w:hint="eastAsia" w:ascii="仿宋" w:hAnsi="仿宋" w:eastAsia="仿宋"/>
          <w:sz w:val="32"/>
          <w:szCs w:val="32"/>
        </w:rPr>
        <w:t>组</w:t>
      </w:r>
      <w:r>
        <w:rPr>
          <w:rStyle w:val="13"/>
          <w:rFonts w:hint="eastAsia" w:ascii="仿宋" w:hAnsi="仿宋" w:eastAsia="仿宋"/>
          <w:sz w:val="32"/>
          <w:szCs w:val="32"/>
          <w:lang w:val="en-US" w:eastAsia="zh-CN"/>
        </w:rPr>
        <w:t>织</w:t>
      </w:r>
      <w:r>
        <w:rPr>
          <w:rStyle w:val="13"/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优先支持安装机械专业监测传感器的服务组织参与项目实施，切实保障服务效果。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农业生产托管服务主体需具备以下条件：一是服务能力强、服务范围广、市场化运营规范。二是拥有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与其服务内容、服务能力相匹配的专业农业机械和设备以及其它能力。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年服务面积在1000亩以上。三是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在农民群众中享有良好的信誉，与其提供的服务在质量和价格方面受到服务对象的认可和好评。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能够接受社会化服务行业管理部门监管。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村集体经济组织不受上述条件限制。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eastAsia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各乡镇负责推荐项目实施主体。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服务主体确定后，由县托管办通过平顺县人民政府门户网站等媒体公示服务主体名单。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（二）签订服务合同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项目实施服务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/>
          <w:sz w:val="32"/>
          <w:szCs w:val="32"/>
        </w:rPr>
        <w:t>要与农户签订托管服务合同，明确作业地块、作业内容、作业时间等内容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(三)提供作业服务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农业生产托管服务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/>
          <w:sz w:val="32"/>
          <w:szCs w:val="32"/>
        </w:rPr>
        <w:t>按照托管服务合同要求提供相关服务，认真填写农业生产托管试点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作业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</w:t>
      </w:r>
      <w:r>
        <w:rPr>
          <w:rFonts w:hint="eastAsia" w:ascii="仿宋" w:hAnsi="仿宋" w:eastAsia="仿宋"/>
          <w:sz w:val="32"/>
          <w:szCs w:val="32"/>
        </w:rPr>
        <w:t>单。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服务主体</w:t>
      </w:r>
      <w:r>
        <w:rPr>
          <w:rFonts w:hint="eastAsia" w:ascii="仿宋" w:hAnsi="仿宋" w:eastAsia="仿宋"/>
          <w:sz w:val="32"/>
          <w:szCs w:val="32"/>
        </w:rPr>
        <w:t>的服务质量应以农户的满意度为标准。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(四)监督项目实施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县托管办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及项目实施乡镇</w:t>
      </w:r>
      <w:r>
        <w:rPr>
          <w:rFonts w:hint="eastAsia" w:ascii="仿宋" w:hAnsi="仿宋" w:eastAsia="仿宋"/>
          <w:sz w:val="32"/>
          <w:szCs w:val="32"/>
        </w:rPr>
        <w:t>要监督服务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/>
          <w:sz w:val="32"/>
          <w:szCs w:val="32"/>
        </w:rPr>
        <w:t>的作业开展情况，及时掌握作业动态，指导做好各项服务。对不能按照合同规定推进工作或完成的不规范的服务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/>
          <w:sz w:val="32"/>
          <w:szCs w:val="32"/>
        </w:rPr>
        <w:t>要及时做出调整。项目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/>
          <w:sz w:val="32"/>
          <w:szCs w:val="32"/>
        </w:rPr>
        <w:t>镇负责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组织村委落实计划任务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(五)项目检查验收</w:t>
      </w:r>
    </w:p>
    <w:p>
      <w:p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每个环节服务结束后，经试点村各服务对象就服务质量、服务面积进行双认可后，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服务所在地乡镇及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村委会验收并出具验收单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由服务主体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报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县托管办。县托管办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组织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项目验收组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采取随机抽查的办法，核实享受补助的服务环节、服务面积及服务满意度等情况。</w:t>
      </w:r>
      <w:r>
        <w:rPr>
          <w:rFonts w:hint="eastAsia" w:ascii="仿宋" w:hAnsi="仿宋" w:eastAsia="仿宋"/>
          <w:sz w:val="32"/>
          <w:szCs w:val="32"/>
        </w:rPr>
        <w:t>抽查农户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比例</w:t>
      </w:r>
      <w:r>
        <w:rPr>
          <w:rFonts w:hint="eastAsia" w:ascii="仿宋" w:hAnsi="仿宋" w:eastAsia="仿宋"/>
          <w:sz w:val="32"/>
          <w:szCs w:val="32"/>
        </w:rPr>
        <w:t>不低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</w:rPr>
        <w:t>作业户数的5%。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对验收不合格整改后仍不符合标准的，取消其补助环节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（六）拨付项目资金</w:t>
      </w:r>
    </w:p>
    <w:p>
      <w:pPr>
        <w:tabs>
          <w:tab w:val="left" w:pos="3471"/>
        </w:tabs>
        <w:bidi w:val="0"/>
        <w:ind w:firstLine="640" w:firstLineChars="200"/>
        <w:jc w:val="left"/>
        <w:rPr>
          <w:rFonts w:hint="eastAsia" w:ascii="仿宋_GB2312" w:hAns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</w:rPr>
        <w:t>资金补助采取先服务后补助的形式，每个环节服务结束并经检查验收合格后，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对项目实施区域内的服务主体按环节兑付补助资金，兑付的补助资金去尾保留至单位元</w:t>
      </w:r>
      <w:r>
        <w:rPr>
          <w:rFonts w:hint="eastAsia" w:ascii="仿宋_GB2312" w:hAnsi="仿宋_GB2312" w:eastAsia="仿宋_GB2312"/>
          <w:b w:val="0"/>
          <w:bCs/>
          <w:sz w:val="32"/>
          <w:szCs w:val="32"/>
        </w:rPr>
        <w:t>。</w:t>
      </w:r>
    </w:p>
    <w:p>
      <w:pPr>
        <w:numPr>
          <w:ilvl w:val="0"/>
          <w:numId w:val="0"/>
        </w:numPr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（七）项目绩效评价</w:t>
      </w:r>
    </w:p>
    <w:p>
      <w:pPr>
        <w:numPr>
          <w:ilvl w:val="0"/>
          <w:numId w:val="0"/>
        </w:numPr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项目完成后，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县托管办及时总结典型做法和成功经验，形成高质量的典型经验材料，上报省、市业务主管部门，并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项目实施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开展情况、实施效果、验收情况、资金兑付、档案资料存档情况等进行检查，开展绩效评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，评价结果作为下年度资金分配和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项目实施主体确定</w:t>
      </w: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</w:rPr>
        <w:t>的重要依据。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（八）项目退出机制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kern w:val="0"/>
          <w:sz w:val="32"/>
          <w:szCs w:val="32"/>
          <w:lang w:val="en-US" w:eastAsia="zh-CN"/>
        </w:rPr>
        <w:t>依据绩效评价结果，对工作推进有力、群众认可度高的实施主体适当增加作业服务面积，对工作组织不力、未按要求开展作业服务的实施主体坚决予以退出。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/>
        </w:rPr>
        <w:t>五、工作要求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一）加强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  <w:t>组织领导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为切实推进农业生产托管服务试点工作，成立由分管副县长为组长，县农业农村局、财政局、现代农业发展中心主要负责人担任副组长，由县农业农村局、财政局、现代农业发展中心、县社、金融工作服务中心、太平洋保险平顺支公司相关负责人及各乡镇长为成员的领导组。</w:t>
      </w:r>
      <w:r>
        <w:rPr>
          <w:rFonts w:hint="eastAsia" w:ascii="仿宋" w:hAnsi="仿宋" w:eastAsia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领导组下设办公室（简称县托管办），办公室设在县现代农业发展中心，具体负责托管工作的组织实施及日常事务的协调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。各乡镇成立农业生产托管服务中心，指导支持服务主体按照规模适当、服务半径适宜、方便农户和农业生产的原则，建立农业生产托管服务站，为农户提供托管服务。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default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（二）探索保险保障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0" w:firstLineChars="200"/>
        <w:rPr>
          <w:rFonts w:hint="default" w:ascii="仿宋" w:hAnsi="仿宋" w:eastAsia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kern w:val="0"/>
          <w:sz w:val="32"/>
          <w:szCs w:val="32"/>
          <w:lang w:val="en-US" w:eastAsia="zh-CN"/>
        </w:rPr>
        <w:t>积极探索保险在农业生产托管领域应用，建立“农业生产托管+保险”金融助力农业现代化路径，创新马铃薯、玉米收入保险兜底支持，切实保障参与农业生产托管的农户等经营主体和服务主体权益，降低托管服务风险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leftChars="200" w:firstLine="321" w:firstLineChars="1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（三）严格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  <w:t>资金监管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根据《平顺县农业生产托管试点项目资金管理办法（试行）》，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明确补助资金使用范围、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标准，落实资金使用计划（或方案）的制定、实施和审核责任。切实加强资金监管，确保资金使用安全高效。对挤占、截留、挪用项目资金等违规违纪行为，按照国家有关规定追究有关单位和人员责任。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四）保障工作经费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县财政安排必要的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项目工作经费，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主要用于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专家团队服务，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宣传培训与入户指导，监督检查、项目验收与工作指导，试点经验总结与完善政策措施等。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  <w:t>强化宣传引导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 w:firstLine="642"/>
        <w:jc w:val="both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要引导服务主体创新服务方式和服务机制，加强服务质量和价格监管，推动制定行业服务标准。高度重视相关政策的宣传解释工作，充分尊重广大农户和服务主体意愿，注意调动农户和服务主体两个积极性，大力营造推进农业生产社会化服务的良好环境，鼓励引导广大农民和服务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积极参与农业社会化服务。</w:t>
      </w:r>
      <w:r>
        <w:rPr>
          <w:rFonts w:ascii="仿宋" w:hAnsi="仿宋" w:eastAsia="仿宋"/>
          <w:color w:val="000000"/>
          <w:kern w:val="0"/>
          <w:sz w:val="32"/>
          <w:szCs w:val="32"/>
          <w:lang w:val="en-US" w:eastAsia="zh-CN" w:bidi="ar"/>
        </w:rPr>
        <w:t>要加强农业生产托管调查研究，及时总结典型经验，充分发挥典型的示范引领作用，努力营造促进发展的良好氛围。</w:t>
      </w: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2" w:firstLineChars="200"/>
        <w:rPr>
          <w:rFonts w:ascii="仿宋_GB2312" w:hAnsi="仿宋_GB2312" w:eastAsia="仿宋_GB2312"/>
          <w:b/>
          <w:bCs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wordWrap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Style w:val="13"/>
          <w:rFonts w:ascii="Times New Roman" w:hAnsi="Times New Roman" w:eastAsia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Style w:val="13"/>
          <w:rFonts w:ascii="Times New Roman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平顺县农业生产托管服务作业区域任务分解表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left"/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637" w:beforeAutospacing="0" w:after="320" w:afterAutospacing="0" w:line="59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平顺县</w:t>
      </w:r>
      <w:r>
        <w:rPr>
          <w:rFonts w:hint="eastAsia" w:ascii="方正小标宋简体" w:eastAsia="方正小标宋简体"/>
          <w:sz w:val="36"/>
          <w:szCs w:val="36"/>
        </w:rPr>
        <w:t>农业生产托管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服务作业区域任务分解表</w:t>
      </w:r>
    </w:p>
    <w:tbl>
      <w:tblPr>
        <w:tblStyle w:val="2"/>
        <w:tblW w:w="8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3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项目乡镇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任务面积</w:t>
            </w:r>
          </w:p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（万亩）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青羊镇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西沟乡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龙溪镇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玉峡关镇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东寺头乡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虹梯关乡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北耽车乡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阳高乡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石城镇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北社乡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beforeAutospacing="0" w:afterAutospacing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苗庄镇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0.69</w:t>
            </w:r>
          </w:p>
        </w:tc>
      </w:tr>
    </w:tbl>
    <w:p>
      <w:pPr>
        <w:wordWrap w:val="0"/>
        <w:spacing w:beforeAutospacing="0" w:afterAutospacing="0" w:line="600" w:lineRule="exact"/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备注:任务面积指按照托管系数计算面积A=0.36A1+0.27A2+0.1A3+0.27A4。其中，A为农业生产托管任务面积，A1、A2、A3、A4分别为耕、种、防、收各环节托管服务面积。</w:t>
      </w:r>
    </w:p>
    <w:sectPr>
      <w:pgSz w:w="11906" w:h="16838"/>
      <w:pgMar w:top="1538" w:right="113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3724E"/>
    <w:multiLevelType w:val="singleLevel"/>
    <w:tmpl w:val="62B37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TM0ZDg3MjNjMzgxOThhZWJhMjk5NWVhNzViY2UifQ=="/>
    <w:docVar w:name="KSO_WPS_MARK_KEY" w:val="883f6b85-fe57-4baa-b524-ac54a93b83a4"/>
  </w:docVars>
  <w:rsids>
    <w:rsidRoot w:val="00000000"/>
    <w:rsid w:val="01FB47A7"/>
    <w:rsid w:val="03CD1A9F"/>
    <w:rsid w:val="03DA48E8"/>
    <w:rsid w:val="04007E55"/>
    <w:rsid w:val="048133B2"/>
    <w:rsid w:val="0C4060F8"/>
    <w:rsid w:val="0F041160"/>
    <w:rsid w:val="0FBB185D"/>
    <w:rsid w:val="10425D81"/>
    <w:rsid w:val="11071E37"/>
    <w:rsid w:val="11D87F8D"/>
    <w:rsid w:val="120F0927"/>
    <w:rsid w:val="12A958CF"/>
    <w:rsid w:val="139F79DC"/>
    <w:rsid w:val="14263B2A"/>
    <w:rsid w:val="15AC09FE"/>
    <w:rsid w:val="170F2B93"/>
    <w:rsid w:val="1BF2581B"/>
    <w:rsid w:val="1EB806AC"/>
    <w:rsid w:val="214636C4"/>
    <w:rsid w:val="22307603"/>
    <w:rsid w:val="27702CEA"/>
    <w:rsid w:val="281E64C1"/>
    <w:rsid w:val="2AC44940"/>
    <w:rsid w:val="2B466267"/>
    <w:rsid w:val="2BB1567F"/>
    <w:rsid w:val="2C13380B"/>
    <w:rsid w:val="2C36162D"/>
    <w:rsid w:val="2CDA463D"/>
    <w:rsid w:val="2CDE52D7"/>
    <w:rsid w:val="2F464330"/>
    <w:rsid w:val="2FB2501E"/>
    <w:rsid w:val="30C95219"/>
    <w:rsid w:val="349B3F05"/>
    <w:rsid w:val="34B7672E"/>
    <w:rsid w:val="362D2681"/>
    <w:rsid w:val="36CF10AF"/>
    <w:rsid w:val="3C9708C1"/>
    <w:rsid w:val="3E490447"/>
    <w:rsid w:val="3F146854"/>
    <w:rsid w:val="41420435"/>
    <w:rsid w:val="41531A91"/>
    <w:rsid w:val="43B17511"/>
    <w:rsid w:val="43CE4856"/>
    <w:rsid w:val="463158E2"/>
    <w:rsid w:val="463F3BF9"/>
    <w:rsid w:val="467D79F6"/>
    <w:rsid w:val="46996B03"/>
    <w:rsid w:val="4C710D57"/>
    <w:rsid w:val="4DCD7C9F"/>
    <w:rsid w:val="52554706"/>
    <w:rsid w:val="53AF5B4D"/>
    <w:rsid w:val="53BA6877"/>
    <w:rsid w:val="56BF525F"/>
    <w:rsid w:val="57943580"/>
    <w:rsid w:val="58304D06"/>
    <w:rsid w:val="58B959EF"/>
    <w:rsid w:val="59350436"/>
    <w:rsid w:val="59E82C52"/>
    <w:rsid w:val="5A031290"/>
    <w:rsid w:val="5B0F0BBD"/>
    <w:rsid w:val="5E45387F"/>
    <w:rsid w:val="611D1F29"/>
    <w:rsid w:val="61236F53"/>
    <w:rsid w:val="61C8411A"/>
    <w:rsid w:val="65B732B6"/>
    <w:rsid w:val="65BE67CB"/>
    <w:rsid w:val="67044AFF"/>
    <w:rsid w:val="679715F1"/>
    <w:rsid w:val="74C65FB6"/>
    <w:rsid w:val="763319B8"/>
    <w:rsid w:val="76ED6818"/>
    <w:rsid w:val="78E763E9"/>
    <w:rsid w:val="79AA1533"/>
    <w:rsid w:val="7AD60DD5"/>
    <w:rsid w:val="7B9C7819"/>
    <w:rsid w:val="7C9519A8"/>
    <w:rsid w:val="E6ED4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340" w:beforeAutospacing="0" w:after="330" w:afterAutospacing="0" w:line="576" w:lineRule="auto"/>
      <w:outlineLvl w:val="0"/>
    </w:pPr>
    <w:rPr>
      <w:kern w:val="44"/>
      <w:sz w:val="44"/>
    </w:rPr>
  </w:style>
  <w:style w:type="paragraph" w:customStyle="1" w:styleId="5">
    <w:name w:val="标题 21"/>
    <w:basedOn w:val="1"/>
    <w:qFormat/>
    <w:uiPriority w:val="0"/>
    <w:pPr>
      <w:spacing w:before="260" w:beforeAutospacing="0" w:after="260" w:afterAutospacing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character" w:customStyle="1" w:styleId="8">
    <w:name w:val="超链接1"/>
    <w:basedOn w:val="6"/>
    <w:link w:val="1"/>
    <w:qFormat/>
    <w:uiPriority w:val="0"/>
    <w:rPr>
      <w:color w:val="000000"/>
      <w:u w:val="none"/>
    </w:rPr>
  </w:style>
  <w:style w:type="character" w:customStyle="1" w:styleId="9">
    <w:name w:val="font01"/>
    <w:basedOn w:val="6"/>
    <w:link w:val="1"/>
    <w:qFormat/>
    <w:uiPriority w:val="0"/>
    <w:rPr>
      <w:rFonts w:hint="eastAsia" w:ascii="黑体" w:hAnsi="宋体" w:eastAsia="黑体"/>
      <w:color w:val="000000"/>
      <w:sz w:val="32"/>
      <w:szCs w:val="32"/>
      <w:u w:val="single"/>
    </w:rPr>
  </w:style>
  <w:style w:type="character" w:customStyle="1" w:styleId="10">
    <w:name w:val="font31"/>
    <w:basedOn w:val="6"/>
    <w:link w:val="1"/>
    <w:qFormat/>
    <w:uiPriority w:val="0"/>
    <w:rPr>
      <w:rFonts w:hint="eastAsia" w:ascii="黑体" w:hAnsi="宋体" w:eastAsia="黑体"/>
      <w:color w:val="000000"/>
      <w:sz w:val="32"/>
      <w:szCs w:val="32"/>
      <w:u w:val="none"/>
    </w:rPr>
  </w:style>
  <w:style w:type="character" w:customStyle="1" w:styleId="11">
    <w:name w:val="已访问的超链接1"/>
    <w:basedOn w:val="6"/>
    <w:link w:val="1"/>
    <w:qFormat/>
    <w:uiPriority w:val="0"/>
    <w:rPr>
      <w:color w:val="000000"/>
      <w:u w:val="none"/>
    </w:rPr>
  </w:style>
  <w:style w:type="character" w:customStyle="1" w:styleId="12">
    <w:name w:val="first-child"/>
    <w:basedOn w:val="6"/>
    <w:link w:val="1"/>
    <w:qFormat/>
    <w:uiPriority w:val="0"/>
  </w:style>
  <w:style w:type="character" w:customStyle="1" w:styleId="13">
    <w:name w:val="NormalCharacter"/>
    <w:link w:val="1"/>
    <w:qFormat/>
    <w:uiPriority w:val="0"/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正文文本1"/>
    <w:basedOn w:val="1"/>
    <w:qFormat/>
    <w:uiPriority w:val="0"/>
    <w:rPr>
      <w:rFonts w:ascii="Times New Roman" w:hAnsi="Times New Roman" w:eastAsia="宋体"/>
      <w:sz w:val="28"/>
      <w:szCs w:val="20"/>
    </w:rPr>
  </w:style>
  <w:style w:type="paragraph" w:customStyle="1" w:styleId="17">
    <w:name w:val="引文目录1"/>
    <w:basedOn w:val="1"/>
    <w:qFormat/>
    <w:uiPriority w:val="0"/>
    <w:pPr>
      <w:widowControl w:val="0"/>
      <w:spacing w:beforeAutospacing="0" w:after="0" w:afterAutospacing="0" w:line="365" w:lineRule="atLeast"/>
      <w:ind w:left="420" w:leftChars="200"/>
      <w:jc w:val="both"/>
    </w:pPr>
    <w:rPr>
      <w:rFonts w:ascii="Calibri" w:hAnsi="Calibri" w:eastAsia="宋体"/>
      <w:sz w:val="21"/>
      <w:szCs w:val="24"/>
    </w:rPr>
  </w:style>
  <w:style w:type="table" w:customStyle="1" w:styleId="18">
    <w:name w:val="网格型1"/>
    <w:basedOn w:val="7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3577</Words>
  <Characters>3786</Characters>
  <Lines>0</Lines>
  <Paragraphs>0</Paragraphs>
  <TotalTime>13</TotalTime>
  <ScaleCrop>false</ScaleCrop>
  <LinksUpToDate>false</LinksUpToDate>
  <CharactersWithSpaces>3794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2023-02-13T08:38:00Z</dcterms:created>
  <dc:creator>Administrator</dc:creator>
  <cp:lastModifiedBy>user</cp:lastModifiedBy>
  <cp:lastPrinted>2023-11-13T08:54:00Z</cp:lastPrinted>
  <dcterms:modified xsi:type="dcterms:W3CDTF">2024-01-03T09:01:23Z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3A6CED7734864F668AD1B8001CCB755B_12</vt:lpwstr>
  </property>
</Properties>
</file>