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299DE">
      <w:pPr>
        <w:snapToGrid w:val="0"/>
        <w:spacing w:line="620" w:lineRule="exact"/>
        <w:jc w:val="left"/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Times New Roman"/>
          <w:bCs/>
          <w:color w:val="auto"/>
          <w:sz w:val="30"/>
          <w:szCs w:val="30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Times New Roman"/>
          <w:bCs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1</w:t>
      </w:r>
    </w:p>
    <w:p w14:paraId="2F718816">
      <w:pPr>
        <w:pStyle w:val="5"/>
        <w:widowControl/>
        <w:shd w:val="clear" w:color="060000" w:fill="FFFFFF"/>
        <w:wordWrap/>
        <w:adjustRightInd/>
        <w:snapToGrid/>
        <w:spacing w:before="0" w:beforeAutospacing="0" w:after="0" w:afterAutospacing="0" w:line="520" w:lineRule="exact"/>
        <w:ind w:left="0" w:right="0" w:firstLine="403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</w:p>
    <w:p w14:paraId="5256B2AD">
      <w:pPr>
        <w:pStyle w:val="5"/>
        <w:widowControl/>
        <w:shd w:val="clear" w:color="060000" w:fill="FFFFFF"/>
        <w:wordWrap/>
        <w:adjustRightInd/>
        <w:snapToGrid/>
        <w:spacing w:before="0" w:beforeAutospacing="0" w:after="0" w:afterAutospacing="0" w:line="520" w:lineRule="exact"/>
        <w:ind w:left="0" w:right="0" w:firstLine="403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auto"/>
          <w:lang w:val="en-US" w:eastAsia="zh-CN"/>
        </w:rPr>
        <w:t>山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auto"/>
        </w:rPr>
        <w:t>西省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auto"/>
          <w:lang w:val="en-US" w:eastAsia="zh-CN"/>
        </w:rPr>
        <w:t>林业和草原局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auto"/>
        </w:rPr>
        <w:t>行政处罚裁量权</w:t>
      </w:r>
    </w:p>
    <w:p w14:paraId="53D3E2A9">
      <w:pPr>
        <w:pStyle w:val="5"/>
        <w:widowControl/>
        <w:shd w:val="clear" w:color="060000" w:fill="FFFFFF"/>
        <w:wordWrap/>
        <w:adjustRightInd/>
        <w:snapToGrid/>
        <w:spacing w:before="0" w:beforeAutospacing="0" w:after="0" w:afterAutospacing="0" w:line="520" w:lineRule="exact"/>
        <w:ind w:left="0" w:right="0" w:firstLine="403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auto"/>
        </w:rPr>
        <w:t>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auto"/>
          <w:lang w:eastAsia="zh-CN"/>
        </w:rPr>
        <w:t>用办法</w:t>
      </w:r>
    </w:p>
    <w:p w14:paraId="2FD15ADD">
      <w:pPr>
        <w:pStyle w:val="5"/>
        <w:widowControl/>
        <w:shd w:val="clear" w:color="050000" w:fill="FFFFFF"/>
        <w:spacing w:before="75" w:beforeAutospacing="0" w:after="0" w:afterAutospacing="0"/>
        <w:ind w:right="0" w:firstLine="60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u w:val="none"/>
          <w:shd w:val="clear" w:color="auto" w:fill="auto"/>
        </w:rPr>
      </w:pPr>
    </w:p>
    <w:p w14:paraId="40E45266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第一条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为进一步规范全省林业和草原行政主管部门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政执法行为，正确行使法律赋予的行政处罚裁量权，保护公民、法人和其他组织的合法权益,根据《中华人民共和国行政处罚法》《山西省行政执法条例》《山西省规范行政执法裁量权办法》等有关法律、法规、规章，结合本省实际，制定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。</w:t>
      </w:r>
    </w:p>
    <w:p w14:paraId="2BCB7964">
      <w:pPr>
        <w:ind w:firstLine="643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所称裁量权，是指林业和草原行政主管部门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依法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行政处罚时，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highlight w:val="none"/>
          <w:shd w:val="clear" w:color="auto" w:fill="auto"/>
          <w:lang w:val="en-US" w:eastAsia="zh-CN"/>
        </w:rPr>
        <w:t>依照法律、法规、规章规定的方式、条件、范围、种类、幅度和期限等，在行政执法过程中，结合具体情形进行审查、判断并作出处理的权力。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综合考虑相对人的主观过错、违法事实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违法情节、违法后果、改正态度和措施等因素后，决定是否给予行政处罚以及给予行政处罚时应合理确定处罚种类、幅度。</w:t>
      </w:r>
    </w:p>
    <w:p w14:paraId="692B462D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第三条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本省各级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、承担有关行政执法事项的乡镇（街道）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行使行政处罚裁量权应当遵守本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。</w:t>
      </w:r>
    </w:p>
    <w:p w14:paraId="13861CB3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使行政处罚裁量权，遵循以事实为根据，以法律为准绳原则，根据违法行为的事实、性质、情节及社会危害程度，依照现行的法律法规和标准，对违法行为处罚与否以及处罚的种类、幅度进行综合分析和裁量，并作出相应的处理决定。</w:t>
      </w:r>
    </w:p>
    <w:p w14:paraId="0851F6B5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对于性质相同、情节相近、危害后果相当的违法行为，在实施行政处罚行使裁量权时，适用的法律依据、处罚种类及处罚幅度应当基本相同。</w:t>
      </w:r>
    </w:p>
    <w:p w14:paraId="7BB276E2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对同一违法案件涉及的多个当事人实施行政处罚，应当根据当事人的违法情节及其在违法活动中所起的作用，分别确定相应的处罚种类和处罚幅度。</w:t>
      </w:r>
    </w:p>
    <w:p w14:paraId="3703C11F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对当事人的同一违法行为，不得给予两次以上罚款的行政处罚；同一个违法行为违反多个法律规范应该给予罚款处罚的，按照罚款数额最高的规定处罚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。</w:t>
      </w:r>
    </w:p>
    <w:p w14:paraId="01CCF9EC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行使行政处罚裁量权，应当遵循公平、公正、公开的原则。</w:t>
      </w:r>
    </w:p>
    <w:p w14:paraId="612465B9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行使行政处罚裁量权，应当遵循程序正当原则，严格遵守《中华人民共和国行政处罚法》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《山西省行政执法条例》《山西省规范行政执法裁量权办法》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有关法律、法规、规章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规定的法定程序。</w:t>
      </w:r>
    </w:p>
    <w:p w14:paraId="71AD21A8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法律、法规、规章规定的处罚种类应当并罚的，不得选择适用；规定可罚的，可以选择适用。除符合《中华人民共和国行政处罚法》不予处罚或可免于处罚的情形外，其他应当予以处罚。</w:t>
      </w:r>
    </w:p>
    <w:p w14:paraId="12379F44">
      <w:pPr>
        <w:pStyle w:val="5"/>
        <w:widowControl/>
        <w:shd w:val="clear" w:color="auto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当事人既有减轻、从轻处罚情节，又有从重处罚情节的，应当综合考量后作出适当的行政处罚。违法行为已经造成严重危害后果的，一般不适用减轻或从轻处罚。</w:t>
      </w:r>
    </w:p>
    <w:p w14:paraId="3E1CFD00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规定所称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行政处罚裁量基准，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是指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将法律、法规、规章规定的可裁量的处罚种类和幅度，依照过罚相当原则，细化为若干裁量阶次，每个阶次规定一定的量罚标准，以确保处罚与违法行为的事实、性质、情节、社会危害程度相当的制度。</w:t>
      </w:r>
    </w:p>
    <w:p w14:paraId="4F7BD83E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法律、法规、规章设定的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罚款有一定幅度的，在实施处罚时，应当根据违法事实、性质和具体情节，参照《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山西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林业和草原局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行政处罚裁量权基准》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（以下简称《裁量权基准》）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，选择适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用合理的罚款幅度。</w:t>
      </w:r>
    </w:p>
    <w:p w14:paraId="2FCF73F1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对情节较轻的违法行为，可按法定处罚幅度最低限处以罚款。</w:t>
      </w:r>
    </w:p>
    <w:p w14:paraId="78AE3DE7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具有从轻处罚情节的，可在法定处罚幅度以内选择适用较轻的处罚，但所处罚款不得低于法定处罚幅度的最低限。</w:t>
      </w:r>
    </w:p>
    <w:p w14:paraId="7F9A5AF9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具有从重处罚情节的，可在法定处罚幅度以内选择适用较重的处罚，但所处罚款不得高于法定处罚幅度的最高限。</w:t>
      </w:r>
    </w:p>
    <w:p w14:paraId="055FFD6D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具有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依法应当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减轻处罚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情节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的，应在法定处罚幅度最低限以下处以罚款，但所处罚款不得低于法定处罚幅度最低限的50%。</w:t>
      </w:r>
    </w:p>
    <w:p w14:paraId="7BB5F2B6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当事人有下列情形之一的，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由有权作出行政处罚的单位决定是否不予处罚并进行教育指导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：</w:t>
      </w:r>
    </w:p>
    <w:p w14:paraId="096CF52B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不满十四周岁的未成年人有违法行为的，不予行政处罚，责令监护人加以管教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；</w:t>
      </w:r>
    </w:p>
    <w:p w14:paraId="7E4D151F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（二）精神病人、智力残疾人在不能辨认或者不能控制自己行为时有违法行为的，不予行政处罚，但应当责令其监护人严加看管和治疗；</w:t>
      </w:r>
    </w:p>
    <w:p w14:paraId="3F4C1D85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）违法行为轻微并及时纠正，没有造成危害后果的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，不予行政处罚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；</w:t>
      </w:r>
    </w:p>
    <w:p w14:paraId="75B2B35B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初次违法且危害后果轻微并及时改正的，可以不予行政处罚；</w:t>
      </w:r>
    </w:p>
    <w:p w14:paraId="2F207FF8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（五）当事人有证据足以证明没有主观过错的，不予行政处罚；</w:t>
      </w:r>
    </w:p>
    <w:p w14:paraId="38A3FA09">
      <w:pPr>
        <w:pStyle w:val="5"/>
        <w:widowControl/>
        <w:shd w:val="clear" w:color="050000" w:fill="auto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除法律另有规定的外，违法行为在二年内未被发现的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，不再给予行政处罚。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期限从违法行为发生之日起计算，违法行为有持续或者继续状态的，从行为终了之日起计算；</w:t>
      </w:r>
    </w:p>
    <w:p w14:paraId="266E79E4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）法律、法规、规章规定的其他不予行政处罚的。</w:t>
      </w:r>
    </w:p>
    <w:p w14:paraId="0125E7AA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事人有下列情形之一的，应当依法从轻或减轻处罚：</w:t>
      </w:r>
    </w:p>
    <w:p w14:paraId="774A43B3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（一）主动消除或者减轻违法行为危害后果的；</w:t>
      </w:r>
    </w:p>
    <w:p w14:paraId="630C92FF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（二）受他人胁迫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或者诱骗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实施违法行为的；</w:t>
      </w:r>
    </w:p>
    <w:p w14:paraId="0E1E0576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主动供述行政机关尚未掌握的违法行为的；</w:t>
      </w:r>
    </w:p>
    <w:p w14:paraId="66A0401D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配合查处违法行为有立功表现的；</w:t>
      </w:r>
    </w:p>
    <w:p w14:paraId="07559305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（五）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已满十四周岁不满十八周岁的未成年人有违法行为的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；</w:t>
      </w:r>
    </w:p>
    <w:p w14:paraId="2B351710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）法律、法规、规章规定的其他应当从轻或减轻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处罚的。</w:t>
      </w:r>
    </w:p>
    <w:p w14:paraId="5B9E32A5">
      <w:pPr>
        <w:pStyle w:val="5"/>
        <w:widowControl/>
        <w:shd w:val="clear" w:color="auto" w:fill="FFFFFF"/>
        <w:spacing w:before="75" w:beforeAutospacing="0" w:after="0" w:afterAutospacing="0"/>
        <w:ind w:left="0"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当事人有下列情形之一，可以从轻或者减轻处罚:</w:t>
      </w:r>
    </w:p>
    <w:p w14:paraId="28DB5A84">
      <w:pPr>
        <w:pStyle w:val="5"/>
        <w:widowControl/>
        <w:shd w:val="clear" w:color="auto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尚未完全丧失辨认或者控制自己行为能力的精神病人、智力残疾人有违法行为的;</w:t>
      </w:r>
    </w:p>
    <w:p w14:paraId="34B3309F">
      <w:pPr>
        <w:pStyle w:val="5"/>
        <w:widowControl/>
        <w:shd w:val="clear" w:color="auto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共同违法行为中起次要或者辅助作用的;</w:t>
      </w:r>
    </w:p>
    <w:p w14:paraId="61F7E7A2">
      <w:pPr>
        <w:pStyle w:val="5"/>
        <w:widowControl/>
        <w:shd w:val="clear" w:color="auto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积极配合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林业和草原行政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管理部门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查处违法行为，如实陈述违法事实并主动提供证据材料的;</w:t>
      </w:r>
    </w:p>
    <w:p w14:paraId="46138CA0">
      <w:pPr>
        <w:pStyle w:val="5"/>
        <w:widowControl/>
        <w:shd w:val="clear" w:color="auto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法律、法规、规章规定可以从轻或者减轻的其他情形。</w:t>
      </w:r>
    </w:p>
    <w:p w14:paraId="69AE1488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当事人有下列情形之一的，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可以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在法定幅度内从重处罚：</w:t>
      </w:r>
    </w:p>
    <w:p w14:paraId="0CC6245F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（一）违法行为已经造成严重后果或重大影响；</w:t>
      </w:r>
    </w:p>
    <w:p w14:paraId="639DD908">
      <w:pPr>
        <w:pStyle w:val="5"/>
        <w:widowControl/>
        <w:numPr>
          <w:ilvl w:val="0"/>
          <w:numId w:val="0"/>
        </w:numPr>
        <w:shd w:val="clear" w:color="auto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发生自然灾害、事故灾难、公共卫生或者社会安全等突发事件时借机实施违法行为的;</w:t>
      </w:r>
    </w:p>
    <w:p w14:paraId="0DFF36B5">
      <w:pPr>
        <w:pStyle w:val="5"/>
        <w:widowControl/>
        <w:shd w:val="clear" w:color="auto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伪造、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隐匿、销毁违法证据的；或隐匿、转移、变卖、损毁、挪用被查封、扣押物品的;</w:t>
      </w:r>
    </w:p>
    <w:p w14:paraId="00FADB19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阻碍、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拒绝执法人员监督检查，或者在接受监督检查时弄虚作假的；</w:t>
      </w:r>
    </w:p>
    <w:p w14:paraId="298A736E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）重复实施同一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违法行为，或者在责令整改之后继续实施违法行为的；</w:t>
      </w:r>
    </w:p>
    <w:p w14:paraId="4A4E12D3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）对证人、举报人或者执法人员打击报复的；</w:t>
      </w:r>
    </w:p>
    <w:p w14:paraId="6F0F4F19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）群众反映强烈，社会危害大的严重的违法行为；</w:t>
      </w:r>
    </w:p>
    <w:p w14:paraId="180DF884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）违法行为涉及国家安全、公共安全、生态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以及直接关系人身健康、生命财产安全的；</w:t>
      </w:r>
    </w:p>
    <w:p w14:paraId="4B28D78E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）其他依法应当从重给予行政处罚的。</w:t>
      </w:r>
    </w:p>
    <w:p w14:paraId="24B80E24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建立行政处罚裁量审核制度。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案件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调查机构在案件调查终结报告中，建议不予行政处罚、减轻处罚、从轻处罚、从重处罚的，要说明理由并附相应的证据材料。</w:t>
      </w:r>
    </w:p>
    <w:p w14:paraId="427E69EF">
      <w:pPr>
        <w:pStyle w:val="5"/>
        <w:widowControl/>
        <w:shd w:val="clear" w:color="050000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案件调查机构提出行政处罚建议后，由本单位法制工作机构进行审核。如未按照本条第一款规定说明理由并附相应的证据材料的，或者相应的证据材料不足的，法制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应当要求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补正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，逾期不能补证的，不予通过法制审核。</w:t>
      </w:r>
    </w:p>
    <w:p w14:paraId="12932EBB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应当建立行政处罚说明理由制度。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在行使行政处罚裁量权时，应当充分听取当事人的陈述、申辩意见，对当事人的申辩意见是否采纳以及处罚决定中有关从重、从轻、减轻处罚的理由应当在行政处罚决定书中予以说明。</w:t>
      </w:r>
    </w:p>
    <w:p w14:paraId="77F71202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有下列情形之一，在行政机关负责人作出行政处罚的决定之前，应当由从事行政处罚决定法制审核的人员进行法制审核；未经法制审核或者审核未通过的，不得作出决定：</w:t>
      </w:r>
    </w:p>
    <w:p w14:paraId="0787345B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（一）涉及重大公共利益的；</w:t>
      </w:r>
    </w:p>
    <w:p w14:paraId="17E02582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（二）直接关系当事人或者第三人重大权益，经过听证程序的；</w:t>
      </w:r>
    </w:p>
    <w:p w14:paraId="50FC8F06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（三）案件情况疑难复杂、涉及多个法律关系的；</w:t>
      </w:r>
    </w:p>
    <w:p w14:paraId="3619DF59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（四）法律、法规规定应当进行法制审核的其他情形。</w:t>
      </w:r>
    </w:p>
    <w:p w14:paraId="44C1F450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行政机关中初次从事行政处罚决定法制审核的人员，应当通过国家统一法律职业资格考试取得法律职业资格。</w:t>
      </w:r>
    </w:p>
    <w:p w14:paraId="092F79A1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应当成立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林业和草原行政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案件审查小组，负责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除本办法第十六条第一款规定外的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林业和草原行政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案件的审查。</w:t>
      </w:r>
    </w:p>
    <w:p w14:paraId="63C23603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应当定期对本单位作出的行政处罚案件进行复查，发现行使裁量权不当的，应当主动纠正。</w:t>
      </w:r>
    </w:p>
    <w:p w14:paraId="368DA6C8">
      <w:pPr>
        <w:pStyle w:val="5"/>
        <w:widowControl/>
        <w:shd w:val="clear" w:color="050000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上级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应当定期或不定期对下级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行政处罚裁量权行使情况进行监督检查，发现行使不当的，应当责令纠正。</w:t>
      </w:r>
    </w:p>
    <w:p w14:paraId="1B7C2FFB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因行使行政处罚裁量权不当造成严重后果的，应当按照有关规定追究相关责任人的过错责任。</w:t>
      </w:r>
    </w:p>
    <w:p w14:paraId="22931258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行政主管部门应当在法律、法规、规章实施或者修订之后及时制定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或修订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行政处罚裁量权的执行基准。</w:t>
      </w:r>
    </w:p>
    <w:p w14:paraId="5DC64951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第二十条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《裁量权基准》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中所称“以下”“以上”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均包含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本数。</w:t>
      </w:r>
    </w:p>
    <w:p w14:paraId="1DB08B61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第二十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办法及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《裁量权基准》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现行及之后修订、生效的法律、法规、规章规定不一致的，以法律、法规、规章规定为准。</w:t>
      </w:r>
    </w:p>
    <w:p w14:paraId="21C6290B">
      <w:pPr>
        <w:pStyle w:val="5"/>
        <w:widowControl/>
        <w:shd w:val="clear" w:color="050000" w:fill="FFFFFF"/>
        <w:spacing w:before="75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第二十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办法及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《裁量权基准》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山西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负责解释。</w:t>
      </w:r>
    </w:p>
    <w:p w14:paraId="06C4986B">
      <w:pPr>
        <w:pStyle w:val="5"/>
        <w:widowControl/>
        <w:shd w:val="clear" w:color="020000" w:fill="FFFFFF"/>
        <w:spacing w:before="75"/>
        <w:ind w:firstLine="643" w:firstLineChars="200"/>
        <w:rPr>
          <w:rFonts w:hint="eastAsia" w:ascii="宋体" w:hAnsi="宋体" w:eastAsia="宋体" w:cs="宋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第二十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办法及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《裁量权基准》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自20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日起施行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，有效期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五年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。我省过去有关林业和草原行政处罚裁量权规定与本办法及《裁量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基准》不一致的，以本办法及《裁量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基准》为准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064E6">
    <w:pPr>
      <w:pStyle w:val="3"/>
    </w:pPr>
    <w:r>
      <w:rPr>
        <w:rFonts w:ascii="Calibri" w:hAnsi="Calibri" w:eastAsia="宋体" w:cs="黑体"/>
        <w:color w:val="auto"/>
        <w:kern w:val="2"/>
        <w:sz w:val="18"/>
        <w:szCs w:val="32"/>
        <w:lang w:val="en-US" w:eastAsia="zh-CN" w:bidi="ar-SA"/>
      </w:rPr>
      <w:pict>
        <v:rect id="文本框 1" o:spid="_x0000_s2049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7779B562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C385DA0"/>
    <w:rsid w:val="593D5307"/>
    <w:rsid w:val="64C43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3424</Words>
  <Characters>3429</Characters>
  <Lines>0</Lines>
  <Paragraphs>0</Paragraphs>
  <TotalTime>72</TotalTime>
  <ScaleCrop>false</ScaleCrop>
  <LinksUpToDate>false</LinksUpToDate>
  <CharactersWithSpaces>3452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2014-11-14T12:08:00Z</dcterms:created>
  <dc:creator>hp</dc:creator>
  <cp:lastModifiedBy>๓ 淡抹。</cp:lastModifiedBy>
  <cp:lastPrinted>2025-02-12T19:12:00Z</cp:lastPrinted>
  <dcterms:modified xsi:type="dcterms:W3CDTF">2025-05-15T03:31:32Z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5FC7257381D040EE92FEF618135FD320</vt:lpwstr>
  </property>
  <property fmtid="{D5CDD505-2E9C-101B-9397-08002B2CF9AE}" pid="4" name="KSOTemplateDocerSaveRecord">
    <vt:lpwstr>eyJoZGlkIjoiODY4ZDBlYTZjNzY5NjYxNmNhMmI5M2QxMzI3ODFiYTUiLCJ1c2VySWQiOiIzNTAwNDM4MjUifQ==</vt:lpwstr>
  </property>
</Properties>
</file>