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D08A02E">
      <w:pPr>
        <w:spacing w:line="284" w:lineRule="auto"/>
        <w:rPr>
          <w:rFonts w:ascii="Arial"/>
          <w:sz w:val="21"/>
        </w:rPr>
      </w:pPr>
    </w:p>
    <w:p w14:paraId="F892B145">
      <w:pPr>
        <w:spacing w:before="152" w:line="226" w:lineRule="auto"/>
        <w:jc w:val="center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pacing w:val="6"/>
          <w:sz w:val="47"/>
          <w:szCs w:val="47"/>
          <w:lang w:val="en-US" w:eastAsia="zh-CN"/>
        </w:rPr>
        <w:t>平顺县医疗保障局</w:t>
      </w:r>
      <w:r>
        <w:rPr>
          <w:rFonts w:ascii="黑体" w:hAnsi="黑体" w:eastAsia="黑体" w:cs="黑体"/>
          <w:spacing w:val="6"/>
          <w:sz w:val="47"/>
          <w:szCs w:val="47"/>
        </w:rPr>
        <w:t>不予行政处罚清单</w:t>
      </w:r>
    </w:p>
    <w:p w14:paraId="50432261">
      <w:pPr>
        <w:spacing w:before="86"/>
      </w:pPr>
    </w:p>
    <w:p w14:paraId="7FE5D25E">
      <w:pPr>
        <w:spacing w:before="85"/>
      </w:pPr>
    </w:p>
    <w:tbl>
      <w:tblPr>
        <w:tblStyle w:val="4"/>
        <w:tblW w:w="205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239"/>
        <w:gridCol w:w="3655"/>
        <w:gridCol w:w="4963"/>
        <w:gridCol w:w="1845"/>
        <w:gridCol w:w="2055"/>
      </w:tblGrid>
      <w:tr w14:paraId="FFB5E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4" w:type="dxa"/>
          </w:tcPr>
          <w:p w14:paraId="62E2BA24">
            <w:pPr>
              <w:spacing w:before="282" w:line="223" w:lineRule="auto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7239" w:type="dxa"/>
          </w:tcPr>
          <w:p w14:paraId="CD50F19F">
            <w:pPr>
              <w:spacing w:before="281" w:line="222" w:lineRule="auto"/>
              <w:ind w:left="31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违法行为</w:t>
            </w:r>
          </w:p>
        </w:tc>
        <w:tc>
          <w:tcPr>
            <w:tcW w:w="3655" w:type="dxa"/>
          </w:tcPr>
          <w:p w14:paraId="00984A18">
            <w:pPr>
              <w:spacing w:before="282" w:line="223" w:lineRule="auto"/>
              <w:ind w:left="10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不予处罚的情形</w:t>
            </w:r>
          </w:p>
        </w:tc>
        <w:tc>
          <w:tcPr>
            <w:tcW w:w="4963" w:type="dxa"/>
          </w:tcPr>
          <w:p w14:paraId="53F529A9">
            <w:pPr>
              <w:spacing w:before="282" w:line="223" w:lineRule="auto"/>
              <w:ind w:left="2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法律依据</w:t>
            </w:r>
          </w:p>
        </w:tc>
        <w:tc>
          <w:tcPr>
            <w:tcW w:w="1845" w:type="dxa"/>
          </w:tcPr>
          <w:p w14:paraId="37FA9B39">
            <w:pPr>
              <w:spacing w:before="282" w:line="223" w:lineRule="auto"/>
              <w:ind w:left="4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实施主体</w:t>
            </w:r>
          </w:p>
        </w:tc>
        <w:tc>
          <w:tcPr>
            <w:tcW w:w="2055" w:type="dxa"/>
          </w:tcPr>
          <w:p w14:paraId="34B1ED7D">
            <w:pPr>
              <w:spacing w:before="282" w:line="224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2"/>
                <w:szCs w:val="22"/>
              </w:rPr>
              <w:t>是否包含首违不罚</w:t>
            </w:r>
          </w:p>
        </w:tc>
      </w:tr>
      <w:tr w14:paraId="05629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784" w:type="dxa"/>
          </w:tcPr>
          <w:p w14:paraId="670D147E">
            <w:pPr>
              <w:spacing w:line="348" w:lineRule="auto"/>
              <w:rPr>
                <w:rFonts w:ascii="Arial"/>
                <w:sz w:val="21"/>
              </w:rPr>
            </w:pPr>
          </w:p>
          <w:p w14:paraId="D7D2B4AD">
            <w:pPr>
              <w:spacing w:line="349" w:lineRule="auto"/>
              <w:rPr>
                <w:rFonts w:ascii="Arial"/>
                <w:sz w:val="21"/>
              </w:rPr>
            </w:pPr>
          </w:p>
          <w:p w14:paraId="4AD8097B">
            <w:pPr>
              <w:pStyle w:val="5"/>
              <w:spacing w:before="62" w:line="257" w:lineRule="exact"/>
              <w:ind w:left="360"/>
            </w:pPr>
            <w:r>
              <w:rPr>
                <w:position w:val="1"/>
              </w:rPr>
              <w:t>1</w:t>
            </w:r>
          </w:p>
        </w:tc>
        <w:tc>
          <w:tcPr>
            <w:tcW w:w="7239" w:type="dxa"/>
          </w:tcPr>
          <w:p w14:paraId="033FB776">
            <w:pPr>
              <w:spacing w:line="349" w:lineRule="auto"/>
              <w:rPr>
                <w:rFonts w:ascii="Arial"/>
                <w:sz w:val="21"/>
              </w:rPr>
            </w:pPr>
          </w:p>
          <w:p w14:paraId="A7076B20">
            <w:pPr>
              <w:spacing w:line="349" w:lineRule="auto"/>
              <w:rPr>
                <w:rFonts w:ascii="Arial"/>
                <w:sz w:val="21"/>
              </w:rPr>
            </w:pPr>
          </w:p>
          <w:p w14:paraId="7F393740">
            <w:pPr>
              <w:pStyle w:val="5"/>
              <w:spacing w:before="61" w:line="227" w:lineRule="auto"/>
              <w:ind w:left="112"/>
            </w:pPr>
            <w:r>
              <w:rPr>
                <w:spacing w:val="9"/>
              </w:rPr>
              <w:t>用人单位不办理医疗保险登记，经责令限期改正，逾期不改正的</w:t>
            </w:r>
          </w:p>
        </w:tc>
        <w:tc>
          <w:tcPr>
            <w:tcW w:w="3655" w:type="dxa"/>
          </w:tcPr>
          <w:p w14:paraId="080D2E87">
            <w:pPr>
              <w:spacing w:line="269" w:lineRule="auto"/>
              <w:rPr>
                <w:rFonts w:ascii="Arial"/>
                <w:sz w:val="21"/>
              </w:rPr>
            </w:pPr>
          </w:p>
          <w:p w14:paraId="611F4CB6">
            <w:pPr>
              <w:spacing w:line="270" w:lineRule="auto"/>
              <w:rPr>
                <w:rFonts w:ascii="Arial"/>
                <w:sz w:val="21"/>
              </w:rPr>
            </w:pPr>
          </w:p>
          <w:p w14:paraId="D2EB4752">
            <w:pPr>
              <w:pStyle w:val="5"/>
              <w:spacing w:before="62" w:line="312" w:lineRule="auto"/>
              <w:ind w:left="115" w:right="105" w:hanging="2"/>
            </w:pPr>
            <w:r>
              <w:rPr>
                <w:spacing w:val="11"/>
              </w:rPr>
              <w:t>立即自行改正或在责令改正的期限内积</w:t>
            </w:r>
            <w:r>
              <w:rPr>
                <w:spacing w:val="9"/>
              </w:rPr>
              <w:t>极改正，且改正合格的、不予处罚</w:t>
            </w:r>
          </w:p>
        </w:tc>
        <w:tc>
          <w:tcPr>
            <w:tcW w:w="4963" w:type="dxa"/>
          </w:tcPr>
          <w:p w14:paraId="1C7ADA35">
            <w:pPr>
              <w:spacing w:line="380" w:lineRule="auto"/>
              <w:rPr>
                <w:rFonts w:ascii="Arial"/>
                <w:sz w:val="21"/>
              </w:rPr>
            </w:pPr>
          </w:p>
          <w:p w14:paraId="A2C2ECC2">
            <w:pPr>
              <w:pStyle w:val="5"/>
              <w:spacing w:before="62" w:line="227" w:lineRule="auto"/>
              <w:ind w:left="687"/>
            </w:pPr>
            <w:r>
              <w:rPr>
                <w:spacing w:val="-1"/>
              </w:rPr>
              <w:t>《中华人民共和国社会保险法》第八十四条</w:t>
            </w:r>
          </w:p>
          <w:p w14:paraId="FF52FC21">
            <w:pPr>
              <w:pStyle w:val="5"/>
              <w:spacing w:before="85" w:line="228" w:lineRule="auto"/>
              <w:ind w:left="142"/>
            </w:pPr>
            <w:r>
              <w:rPr>
                <w:spacing w:val="9"/>
              </w:rPr>
              <w:t>《山西省医疗保障局办公室关于印发&lt;医疗保障行政处</w:t>
            </w:r>
          </w:p>
          <w:p w14:paraId="FCCF9D7C">
            <w:pPr>
              <w:pStyle w:val="5"/>
              <w:spacing w:before="86" w:line="228" w:lineRule="auto"/>
              <w:ind w:right="16"/>
              <w:jc w:val="right"/>
            </w:pPr>
            <w:r>
              <w:t>罚自由裁量基准〉的通知》（晋医保办发〔2021〕14</w:t>
            </w:r>
            <w:r>
              <w:rPr>
                <w:spacing w:val="-27"/>
              </w:rPr>
              <w:t xml:space="preserve"> </w:t>
            </w:r>
            <w:r>
              <w:t>号）</w:t>
            </w:r>
          </w:p>
        </w:tc>
        <w:tc>
          <w:tcPr>
            <w:tcW w:w="1845" w:type="dxa"/>
          </w:tcPr>
          <w:p w14:paraId="8846A438">
            <w:pPr>
              <w:spacing w:line="348" w:lineRule="auto"/>
              <w:rPr>
                <w:rFonts w:ascii="Arial"/>
                <w:sz w:val="21"/>
              </w:rPr>
            </w:pPr>
          </w:p>
          <w:p w14:paraId="AE8EE47B">
            <w:pPr>
              <w:spacing w:line="349" w:lineRule="auto"/>
              <w:rPr>
                <w:rFonts w:ascii="Arial"/>
                <w:sz w:val="21"/>
              </w:rPr>
            </w:pPr>
          </w:p>
          <w:p w14:paraId="B6EDAC45">
            <w:pPr>
              <w:pStyle w:val="5"/>
              <w:spacing w:before="62" w:line="228" w:lineRule="auto"/>
            </w:pPr>
            <w:r>
              <w:rPr>
                <w:rFonts w:hint="eastAsia"/>
                <w:spacing w:val="8"/>
                <w:lang w:eastAsia="zh-CN"/>
              </w:rPr>
              <w:t xml:space="preserve"> 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2055" w:type="dxa"/>
          </w:tcPr>
          <w:p w14:paraId="B97F3571">
            <w:pPr>
              <w:spacing w:line="348" w:lineRule="auto"/>
              <w:rPr>
                <w:rFonts w:ascii="Arial"/>
                <w:sz w:val="21"/>
              </w:rPr>
            </w:pPr>
          </w:p>
          <w:p w14:paraId="86A5B6D7">
            <w:pPr>
              <w:spacing w:line="349" w:lineRule="auto"/>
              <w:rPr>
                <w:rFonts w:ascii="Arial"/>
                <w:sz w:val="21"/>
              </w:rPr>
            </w:pPr>
          </w:p>
          <w:p w14:paraId="01A5CA12">
            <w:pPr>
              <w:pStyle w:val="5"/>
              <w:spacing w:before="62" w:line="229" w:lineRule="auto"/>
              <w:ind w:left="938"/>
            </w:pPr>
            <w:r>
              <w:t>否</w:t>
            </w:r>
          </w:p>
        </w:tc>
      </w:tr>
      <w:tr w14:paraId="F3B8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784" w:type="dxa"/>
          </w:tcPr>
          <w:p w14:paraId="A423E7AC">
            <w:pPr>
              <w:spacing w:line="332" w:lineRule="auto"/>
              <w:rPr>
                <w:rFonts w:ascii="Arial"/>
                <w:sz w:val="21"/>
              </w:rPr>
            </w:pPr>
          </w:p>
          <w:p w14:paraId="5C7DD5A0">
            <w:pPr>
              <w:spacing w:line="332" w:lineRule="auto"/>
              <w:rPr>
                <w:rFonts w:ascii="Arial"/>
                <w:sz w:val="21"/>
              </w:rPr>
            </w:pPr>
          </w:p>
          <w:p w14:paraId="599699A4">
            <w:pPr>
              <w:pStyle w:val="5"/>
              <w:spacing w:before="61" w:line="257" w:lineRule="exact"/>
              <w:ind w:left="348"/>
            </w:pPr>
            <w:r>
              <w:rPr>
                <w:position w:val="1"/>
              </w:rPr>
              <w:t>2</w:t>
            </w:r>
          </w:p>
        </w:tc>
        <w:tc>
          <w:tcPr>
            <w:tcW w:w="7239" w:type="dxa"/>
          </w:tcPr>
          <w:p w14:paraId="C6087A69">
            <w:pPr>
              <w:spacing w:line="251" w:lineRule="auto"/>
              <w:rPr>
                <w:rFonts w:ascii="Arial"/>
                <w:sz w:val="21"/>
              </w:rPr>
            </w:pPr>
          </w:p>
          <w:p w14:paraId="43D04195">
            <w:pPr>
              <w:spacing w:line="251" w:lineRule="auto"/>
              <w:rPr>
                <w:rFonts w:ascii="Arial"/>
                <w:sz w:val="21"/>
              </w:rPr>
            </w:pPr>
          </w:p>
          <w:p w14:paraId="F20DF34D">
            <w:pPr>
              <w:pStyle w:val="5"/>
              <w:spacing w:before="62" w:line="315" w:lineRule="auto"/>
              <w:ind w:left="126" w:right="103" w:hanging="14"/>
            </w:pPr>
            <w:r>
              <w:rPr>
                <w:spacing w:val="10"/>
              </w:rPr>
              <w:t>用人单位未按时足额缴纳医疗保险费，经责令限期缴纳或者补足，逾期仍不缴纳</w:t>
            </w:r>
            <w:r>
              <w:t>的</w:t>
            </w:r>
          </w:p>
        </w:tc>
        <w:tc>
          <w:tcPr>
            <w:tcW w:w="3655" w:type="dxa"/>
          </w:tcPr>
          <w:p w14:paraId="35BE5CE7">
            <w:pPr>
              <w:spacing w:line="251" w:lineRule="auto"/>
              <w:rPr>
                <w:rFonts w:ascii="Arial"/>
                <w:sz w:val="21"/>
              </w:rPr>
            </w:pPr>
          </w:p>
          <w:p w14:paraId="C4312CED">
            <w:pPr>
              <w:spacing w:line="251" w:lineRule="auto"/>
              <w:rPr>
                <w:rFonts w:ascii="Arial"/>
                <w:sz w:val="21"/>
              </w:rPr>
            </w:pPr>
          </w:p>
          <w:p w14:paraId="744A6CDC">
            <w:pPr>
              <w:pStyle w:val="5"/>
              <w:spacing w:before="61" w:line="314" w:lineRule="auto"/>
              <w:ind w:left="123" w:right="105" w:hanging="11"/>
            </w:pPr>
            <w:r>
              <w:rPr>
                <w:spacing w:val="11"/>
              </w:rPr>
              <w:t>在责令期限内足额缴纳或补足医疗保险</w:t>
            </w:r>
            <w:r>
              <w:rPr>
                <w:spacing w:val="9"/>
              </w:rPr>
              <w:t>费，并</w:t>
            </w:r>
            <w:bookmarkStart w:id="0" w:name="_GoBack"/>
            <w:bookmarkEnd w:id="0"/>
            <w:r>
              <w:rPr>
                <w:spacing w:val="9"/>
              </w:rPr>
              <w:t>按期缴纳滞纳金，不予处罚</w:t>
            </w:r>
          </w:p>
        </w:tc>
        <w:tc>
          <w:tcPr>
            <w:tcW w:w="4963" w:type="dxa"/>
          </w:tcPr>
          <w:p w14:paraId="CAA769DA">
            <w:pPr>
              <w:spacing w:line="347" w:lineRule="auto"/>
              <w:rPr>
                <w:rFonts w:ascii="Arial"/>
                <w:sz w:val="21"/>
              </w:rPr>
            </w:pPr>
          </w:p>
          <w:p w14:paraId="E1F0A79B">
            <w:pPr>
              <w:pStyle w:val="5"/>
              <w:spacing w:before="62" w:line="227" w:lineRule="auto"/>
              <w:ind w:left="687"/>
            </w:pPr>
            <w:r>
              <w:rPr>
                <w:spacing w:val="-1"/>
              </w:rPr>
              <w:t>《中华人民共和国社会保险法》第八十六条</w:t>
            </w:r>
          </w:p>
          <w:p w14:paraId="0B7A4F12">
            <w:pPr>
              <w:pStyle w:val="5"/>
              <w:spacing w:before="85" w:line="228" w:lineRule="auto"/>
              <w:ind w:left="118"/>
            </w:pPr>
            <w:r>
              <w:rPr>
                <w:spacing w:val="7"/>
              </w:rPr>
              <w:t>《山西省医疗保障局办公室关于印发〈医疗保障行政处</w:t>
            </w:r>
          </w:p>
          <w:p w14:paraId="13F26E5F">
            <w:pPr>
              <w:pStyle w:val="5"/>
              <w:spacing w:before="84" w:line="228" w:lineRule="auto"/>
              <w:ind w:right="16"/>
              <w:jc w:val="right"/>
            </w:pPr>
            <w:r>
              <w:t>罚自由裁量基准〉的通知》（晋医保办发〔2021〕14</w:t>
            </w:r>
            <w:r>
              <w:rPr>
                <w:spacing w:val="-27"/>
              </w:rPr>
              <w:t xml:space="preserve"> </w:t>
            </w:r>
            <w:r>
              <w:t>号）</w:t>
            </w:r>
          </w:p>
        </w:tc>
        <w:tc>
          <w:tcPr>
            <w:tcW w:w="1845" w:type="dxa"/>
          </w:tcPr>
          <w:p w14:paraId="CE0EA03B">
            <w:pPr>
              <w:spacing w:line="332" w:lineRule="auto"/>
              <w:rPr>
                <w:rFonts w:ascii="Arial"/>
                <w:sz w:val="21"/>
              </w:rPr>
            </w:pPr>
          </w:p>
          <w:p w14:paraId="5B059D5F">
            <w:pPr>
              <w:spacing w:line="332" w:lineRule="auto"/>
              <w:rPr>
                <w:rFonts w:ascii="Arial"/>
                <w:sz w:val="21"/>
              </w:rPr>
            </w:pPr>
          </w:p>
          <w:p w14:paraId="32E77F67">
            <w:pPr>
              <w:pStyle w:val="5"/>
              <w:spacing w:before="62" w:line="228" w:lineRule="auto"/>
            </w:pPr>
            <w:r>
              <w:rPr>
                <w:rFonts w:hint="eastAsia"/>
                <w:spacing w:val="8"/>
                <w:lang w:eastAsia="zh-CN"/>
              </w:rPr>
              <w:t xml:space="preserve"> 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2055" w:type="dxa"/>
          </w:tcPr>
          <w:p w14:paraId="7DA7A50A">
            <w:pPr>
              <w:spacing w:line="332" w:lineRule="auto"/>
              <w:rPr>
                <w:rFonts w:ascii="Arial"/>
                <w:sz w:val="21"/>
              </w:rPr>
            </w:pPr>
          </w:p>
          <w:p w14:paraId="07653773">
            <w:pPr>
              <w:spacing w:line="332" w:lineRule="auto"/>
              <w:rPr>
                <w:rFonts w:ascii="Arial"/>
                <w:sz w:val="21"/>
              </w:rPr>
            </w:pPr>
          </w:p>
          <w:p w14:paraId="2BB20449">
            <w:pPr>
              <w:pStyle w:val="5"/>
              <w:spacing w:before="61" w:line="229" w:lineRule="auto"/>
              <w:ind w:left="938"/>
            </w:pPr>
            <w:r>
              <w:t>否</w:t>
            </w:r>
          </w:p>
        </w:tc>
      </w:tr>
      <w:tr w14:paraId="8FED8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84" w:type="dxa"/>
          </w:tcPr>
          <w:p w14:paraId="5473DFE0">
            <w:pPr>
              <w:spacing w:line="251" w:lineRule="auto"/>
              <w:rPr>
                <w:rFonts w:ascii="Arial"/>
                <w:sz w:val="21"/>
              </w:rPr>
            </w:pPr>
          </w:p>
          <w:p w14:paraId="4A014313">
            <w:pPr>
              <w:spacing w:line="251" w:lineRule="auto"/>
              <w:rPr>
                <w:rFonts w:ascii="Arial"/>
                <w:sz w:val="21"/>
              </w:rPr>
            </w:pPr>
          </w:p>
          <w:p w14:paraId="8F0511F0">
            <w:pPr>
              <w:spacing w:line="251" w:lineRule="auto"/>
              <w:rPr>
                <w:rFonts w:ascii="Arial"/>
                <w:sz w:val="21"/>
              </w:rPr>
            </w:pPr>
          </w:p>
          <w:p w14:paraId="DECA1C4F">
            <w:pPr>
              <w:spacing w:line="253" w:lineRule="auto"/>
              <w:rPr>
                <w:rFonts w:ascii="Arial"/>
                <w:sz w:val="21"/>
              </w:rPr>
            </w:pPr>
          </w:p>
          <w:p w14:paraId="C108DDDE">
            <w:pPr>
              <w:spacing w:line="253" w:lineRule="auto"/>
              <w:rPr>
                <w:rFonts w:ascii="Arial"/>
                <w:sz w:val="21"/>
              </w:rPr>
            </w:pPr>
          </w:p>
          <w:p w14:paraId="6797A3BD">
            <w:pPr>
              <w:pStyle w:val="5"/>
              <w:spacing w:before="62" w:line="255" w:lineRule="exact"/>
              <w:ind w:left="349"/>
            </w:pPr>
            <w:r>
              <w:rPr>
                <w:position w:val="1"/>
              </w:rPr>
              <w:t>3</w:t>
            </w:r>
          </w:p>
        </w:tc>
        <w:tc>
          <w:tcPr>
            <w:tcW w:w="7239" w:type="dxa"/>
          </w:tcPr>
          <w:p w14:paraId="6C78FC8F">
            <w:pPr>
              <w:spacing w:line="465" w:lineRule="auto"/>
              <w:rPr>
                <w:rFonts w:ascii="Arial"/>
                <w:sz w:val="21"/>
              </w:rPr>
            </w:pPr>
          </w:p>
          <w:p w14:paraId="3D79F5A8">
            <w:pPr>
              <w:pStyle w:val="5"/>
              <w:spacing w:before="62" w:line="312" w:lineRule="auto"/>
              <w:ind w:left="112" w:right="103" w:firstLine="3"/>
              <w:jc w:val="both"/>
            </w:pPr>
            <w:r>
              <w:rPr>
                <w:spacing w:val="10"/>
              </w:rPr>
              <w:t>定点医药机构分解住院、挂床住院；违反诊疗规范过度诊疗、过度检查、分解处方、超量开药、重复开药或者提供其他不必要的医药服务；重复收费、超标准收费、分解项目收费；串换药品、医用耗材、诊疗项目和服务设施；为参保人员利用其享受医疗保障待遇的机会转卖药品，接受返还现金、实物或者获得其他非法利益提供便利；将不属于医疗保障基金支付范围的医药费用纳入医疗保障基金结</w:t>
            </w:r>
            <w:r>
              <w:rPr>
                <w:spacing w:val="8"/>
              </w:rPr>
              <w:t>算；造成医疗保障基金损失的其他违法行为</w:t>
            </w:r>
          </w:p>
        </w:tc>
        <w:tc>
          <w:tcPr>
            <w:tcW w:w="3655" w:type="dxa"/>
          </w:tcPr>
          <w:p w14:paraId="186FABAD">
            <w:pPr>
              <w:spacing w:line="261" w:lineRule="auto"/>
              <w:rPr>
                <w:rFonts w:ascii="Arial"/>
                <w:sz w:val="21"/>
              </w:rPr>
            </w:pPr>
          </w:p>
          <w:p w14:paraId="78971BA0">
            <w:pPr>
              <w:spacing w:line="261" w:lineRule="auto"/>
              <w:rPr>
                <w:rFonts w:ascii="Arial"/>
                <w:sz w:val="21"/>
              </w:rPr>
            </w:pPr>
          </w:p>
          <w:p w14:paraId="3C94F971">
            <w:pPr>
              <w:spacing w:line="262" w:lineRule="auto"/>
              <w:rPr>
                <w:rFonts w:ascii="Arial"/>
                <w:sz w:val="21"/>
              </w:rPr>
            </w:pPr>
          </w:p>
          <w:p w14:paraId="0B509CAD">
            <w:pPr>
              <w:pStyle w:val="5"/>
              <w:spacing w:before="62" w:line="312" w:lineRule="auto"/>
              <w:ind w:left="113" w:right="53" w:firstLine="1"/>
              <w:jc w:val="both"/>
            </w:pPr>
            <w:r>
              <w:rPr>
                <w:spacing w:val="11"/>
              </w:rPr>
              <w:t>主动自查自纠并退回违规使用的医保基</w:t>
            </w:r>
            <w:r>
              <w:rPr>
                <w:spacing w:val="3"/>
              </w:rPr>
              <w:t>金，且金额在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万元以下、没有从重情节的，可视作违法行为轻微并及时纠正，</w:t>
            </w:r>
            <w:r>
              <w:rPr>
                <w:spacing w:val="10"/>
              </w:rPr>
              <w:t>没有造成危害后果，不予处罚</w:t>
            </w:r>
          </w:p>
        </w:tc>
        <w:tc>
          <w:tcPr>
            <w:tcW w:w="4963" w:type="dxa"/>
          </w:tcPr>
          <w:p w14:paraId="50B616F3">
            <w:pPr>
              <w:spacing w:line="315" w:lineRule="auto"/>
              <w:rPr>
                <w:rFonts w:ascii="Arial"/>
                <w:sz w:val="21"/>
              </w:rPr>
            </w:pPr>
          </w:p>
          <w:p w14:paraId="14E31AD0">
            <w:pPr>
              <w:spacing w:line="315" w:lineRule="auto"/>
              <w:rPr>
                <w:rFonts w:ascii="Arial"/>
                <w:sz w:val="21"/>
              </w:rPr>
            </w:pPr>
          </w:p>
          <w:p w14:paraId="41B4DB2C">
            <w:pPr>
              <w:spacing w:line="315" w:lineRule="auto"/>
              <w:rPr>
                <w:rFonts w:ascii="Arial"/>
                <w:sz w:val="21"/>
              </w:rPr>
            </w:pPr>
          </w:p>
          <w:p w14:paraId="9F07914D">
            <w:pPr>
              <w:pStyle w:val="5"/>
              <w:spacing w:before="62" w:line="228" w:lineRule="auto"/>
              <w:ind w:left="392"/>
            </w:pPr>
            <w:r>
              <w:rPr>
                <w:spacing w:val="9"/>
              </w:rPr>
              <w:t>《医疗保障基金使用监督管理条例》第三十八条</w:t>
            </w:r>
          </w:p>
          <w:p w14:paraId="2BE372E0">
            <w:pPr>
              <w:pStyle w:val="5"/>
              <w:spacing w:before="84" w:line="314" w:lineRule="auto"/>
              <w:ind w:left="121" w:right="22" w:hanging="3"/>
            </w:pPr>
            <w:r>
              <w:rPr>
                <w:spacing w:val="7"/>
              </w:rPr>
              <w:t>《山西省医疗保障局办公室关于印发〈医疗保障行政处</w:t>
            </w:r>
            <w:r>
              <w:t>罚自由裁量基准〉的通知》（晋医保办发〔2021〕14</w:t>
            </w:r>
            <w:r>
              <w:rPr>
                <w:spacing w:val="-33"/>
              </w:rPr>
              <w:t xml:space="preserve"> </w:t>
            </w:r>
            <w:r>
              <w:t>号）</w:t>
            </w:r>
          </w:p>
        </w:tc>
        <w:tc>
          <w:tcPr>
            <w:tcW w:w="1845" w:type="dxa"/>
          </w:tcPr>
          <w:p w14:paraId="E8669689">
            <w:pPr>
              <w:spacing w:line="251" w:lineRule="auto"/>
              <w:rPr>
                <w:rFonts w:ascii="Arial"/>
                <w:sz w:val="21"/>
              </w:rPr>
            </w:pPr>
          </w:p>
          <w:p w14:paraId="3E448B36">
            <w:pPr>
              <w:spacing w:line="251" w:lineRule="auto"/>
              <w:rPr>
                <w:rFonts w:ascii="Arial"/>
                <w:sz w:val="21"/>
              </w:rPr>
            </w:pPr>
          </w:p>
          <w:p w14:paraId="CFF2A8A6">
            <w:pPr>
              <w:spacing w:line="251" w:lineRule="auto"/>
              <w:rPr>
                <w:rFonts w:ascii="Arial"/>
                <w:sz w:val="21"/>
              </w:rPr>
            </w:pPr>
          </w:p>
          <w:p w14:paraId="70DA2F49">
            <w:pPr>
              <w:spacing w:line="253" w:lineRule="auto"/>
              <w:rPr>
                <w:rFonts w:ascii="Arial"/>
                <w:sz w:val="21"/>
              </w:rPr>
            </w:pPr>
          </w:p>
          <w:p w14:paraId="503A957A">
            <w:pPr>
              <w:spacing w:line="253" w:lineRule="auto"/>
              <w:rPr>
                <w:rFonts w:ascii="Arial"/>
                <w:sz w:val="21"/>
              </w:rPr>
            </w:pPr>
          </w:p>
          <w:p w14:paraId="E9334BD5">
            <w:pPr>
              <w:pStyle w:val="5"/>
              <w:spacing w:before="62" w:line="228" w:lineRule="auto"/>
              <w:ind w:left="131"/>
            </w:pPr>
            <w:r>
              <w:rPr>
                <w:rFonts w:hint="eastAsia"/>
                <w:spacing w:val="8"/>
                <w:lang w:eastAsia="zh-CN"/>
              </w:rPr>
              <w:t>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2055" w:type="dxa"/>
          </w:tcPr>
          <w:p w14:paraId="10A74248">
            <w:pPr>
              <w:spacing w:line="251" w:lineRule="auto"/>
              <w:rPr>
                <w:rFonts w:ascii="Arial"/>
                <w:sz w:val="21"/>
              </w:rPr>
            </w:pPr>
          </w:p>
          <w:p w14:paraId="42FA735B">
            <w:pPr>
              <w:spacing w:line="251" w:lineRule="auto"/>
              <w:rPr>
                <w:rFonts w:ascii="Arial"/>
                <w:sz w:val="21"/>
              </w:rPr>
            </w:pPr>
          </w:p>
          <w:p w14:paraId="6B19DCBD">
            <w:pPr>
              <w:spacing w:line="251" w:lineRule="auto"/>
              <w:rPr>
                <w:rFonts w:ascii="Arial"/>
                <w:sz w:val="21"/>
              </w:rPr>
            </w:pPr>
          </w:p>
          <w:p w14:paraId="621F847E">
            <w:pPr>
              <w:spacing w:line="253" w:lineRule="auto"/>
              <w:rPr>
                <w:rFonts w:ascii="Arial"/>
                <w:sz w:val="21"/>
              </w:rPr>
            </w:pPr>
          </w:p>
          <w:p w14:paraId="8933C182">
            <w:pPr>
              <w:spacing w:line="253" w:lineRule="auto"/>
              <w:rPr>
                <w:rFonts w:ascii="Arial"/>
                <w:sz w:val="21"/>
              </w:rPr>
            </w:pPr>
          </w:p>
          <w:p w14:paraId="926771BB">
            <w:pPr>
              <w:pStyle w:val="5"/>
              <w:spacing w:before="62" w:line="229" w:lineRule="auto"/>
              <w:ind w:left="938"/>
            </w:pPr>
            <w:r>
              <w:t>否</w:t>
            </w:r>
          </w:p>
        </w:tc>
      </w:tr>
      <w:tr w14:paraId="ED7ED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784" w:type="dxa"/>
          </w:tcPr>
          <w:p w14:paraId="C6519D81">
            <w:pPr>
              <w:spacing w:line="245" w:lineRule="auto"/>
              <w:rPr>
                <w:rFonts w:ascii="Arial"/>
                <w:sz w:val="21"/>
              </w:rPr>
            </w:pPr>
          </w:p>
          <w:p w14:paraId="36A53B6B">
            <w:pPr>
              <w:spacing w:line="245" w:lineRule="auto"/>
              <w:rPr>
                <w:rFonts w:ascii="Arial"/>
                <w:sz w:val="21"/>
              </w:rPr>
            </w:pPr>
          </w:p>
          <w:p w14:paraId="18E92D27">
            <w:pPr>
              <w:spacing w:line="245" w:lineRule="auto"/>
              <w:rPr>
                <w:rFonts w:ascii="Arial"/>
                <w:sz w:val="21"/>
              </w:rPr>
            </w:pPr>
          </w:p>
          <w:p w14:paraId="A5B93600">
            <w:pPr>
              <w:spacing w:line="246" w:lineRule="auto"/>
              <w:rPr>
                <w:rFonts w:ascii="Arial"/>
                <w:sz w:val="21"/>
              </w:rPr>
            </w:pPr>
          </w:p>
          <w:p w14:paraId="3A3502C4">
            <w:pPr>
              <w:pStyle w:val="5"/>
              <w:spacing w:before="62" w:line="257" w:lineRule="exact"/>
              <w:ind w:left="344"/>
            </w:pPr>
            <w:r>
              <w:rPr>
                <w:position w:val="1"/>
              </w:rPr>
              <w:t>4</w:t>
            </w:r>
          </w:p>
        </w:tc>
        <w:tc>
          <w:tcPr>
            <w:tcW w:w="7239" w:type="dxa"/>
          </w:tcPr>
          <w:p w14:paraId="4332F74F">
            <w:pPr>
              <w:spacing w:line="274" w:lineRule="auto"/>
              <w:rPr>
                <w:rFonts w:ascii="Arial"/>
                <w:sz w:val="21"/>
              </w:rPr>
            </w:pPr>
          </w:p>
          <w:p w14:paraId="58B8A8AA">
            <w:pPr>
              <w:spacing w:line="274" w:lineRule="auto"/>
              <w:rPr>
                <w:rFonts w:ascii="Arial"/>
                <w:sz w:val="21"/>
              </w:rPr>
            </w:pPr>
          </w:p>
          <w:p w14:paraId="21D558B1">
            <w:pPr>
              <w:spacing w:line="274" w:lineRule="auto"/>
              <w:rPr>
                <w:rFonts w:ascii="Arial"/>
                <w:sz w:val="21"/>
              </w:rPr>
            </w:pPr>
          </w:p>
          <w:p w14:paraId="8DCFA46D">
            <w:pPr>
              <w:pStyle w:val="5"/>
              <w:spacing w:before="62" w:line="313" w:lineRule="auto"/>
              <w:ind w:left="111" w:right="105"/>
            </w:pPr>
            <w:r>
              <w:rPr>
                <w:spacing w:val="5"/>
              </w:rPr>
              <w:t>个人将本人的医疗保障凭证交由他人冒用；重复享受医疗保障待遇；利</w:t>
            </w:r>
            <w:r>
              <w:rPr>
                <w:spacing w:val="4"/>
              </w:rPr>
              <w:t>用享受医疗</w:t>
            </w:r>
            <w:r>
              <w:rPr>
                <w:spacing w:val="8"/>
              </w:rPr>
              <w:t>保障待遇的机会转卖药品，接受返还现金、实物或</w:t>
            </w:r>
            <w:r>
              <w:rPr>
                <w:spacing w:val="7"/>
              </w:rPr>
              <w:t>者获得其他非法利益</w:t>
            </w:r>
          </w:p>
        </w:tc>
        <w:tc>
          <w:tcPr>
            <w:tcW w:w="3655" w:type="dxa"/>
          </w:tcPr>
          <w:p w14:paraId="43FE907F">
            <w:pPr>
              <w:pStyle w:val="5"/>
              <w:spacing w:before="62" w:line="312" w:lineRule="auto"/>
              <w:ind w:right="40"/>
              <w:jc w:val="both"/>
              <w:rPr>
                <w:rFonts w:hint="eastAsia"/>
                <w:spacing w:val="11"/>
                <w:lang w:eastAsia="zh-CN"/>
              </w:rPr>
            </w:pPr>
          </w:p>
          <w:p w14:paraId="456954BC">
            <w:pPr>
              <w:pStyle w:val="5"/>
              <w:spacing w:before="62" w:line="312" w:lineRule="auto"/>
              <w:ind w:right="40"/>
              <w:jc w:val="both"/>
              <w:rPr>
                <w:rFonts w:hint="eastAsia"/>
                <w:spacing w:val="11"/>
                <w:lang w:eastAsia="zh-CN"/>
              </w:rPr>
            </w:pPr>
          </w:p>
          <w:p w14:paraId="CD53B6AE">
            <w:pPr>
              <w:pStyle w:val="5"/>
              <w:spacing w:before="62" w:line="312" w:lineRule="auto"/>
              <w:ind w:right="40"/>
              <w:jc w:val="left"/>
            </w:pPr>
            <w:r>
              <w:rPr>
                <w:rFonts w:hint="eastAsia"/>
                <w:spacing w:val="11"/>
                <w:lang w:eastAsia="zh-CN"/>
              </w:rPr>
              <w:t>违法行为轻微并及时改正</w:t>
            </w:r>
            <w:r>
              <w:rPr>
                <w:spacing w:val="11"/>
              </w:rPr>
              <w:t>，未造成危害后果</w:t>
            </w:r>
            <w:r>
              <w:rPr>
                <w:spacing w:val="8"/>
              </w:rPr>
              <w:t>，不予处罚</w:t>
            </w:r>
          </w:p>
        </w:tc>
        <w:tc>
          <w:tcPr>
            <w:tcW w:w="4963" w:type="dxa"/>
          </w:tcPr>
          <w:p w14:paraId="45A3068F">
            <w:pPr>
              <w:spacing w:line="332" w:lineRule="auto"/>
              <w:rPr>
                <w:rFonts w:ascii="Arial"/>
                <w:sz w:val="21"/>
              </w:rPr>
            </w:pPr>
          </w:p>
          <w:p w14:paraId="C9C3B872">
            <w:pPr>
              <w:spacing w:line="332" w:lineRule="auto"/>
              <w:rPr>
                <w:rFonts w:ascii="Arial"/>
                <w:sz w:val="21"/>
              </w:rPr>
            </w:pPr>
          </w:p>
          <w:p w14:paraId="E8D07FE3">
            <w:pPr>
              <w:pStyle w:val="5"/>
              <w:spacing w:before="62" w:line="311" w:lineRule="auto"/>
              <w:ind w:left="118" w:right="22"/>
              <w:jc w:val="both"/>
            </w:pPr>
            <w:r>
              <w:rPr>
                <w:spacing w:val="5"/>
              </w:rPr>
              <w:t>《医疗保障基金使用监督管理条例》第四十一条第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款</w:t>
            </w:r>
            <w:r>
              <w:rPr>
                <w:spacing w:val="7"/>
              </w:rPr>
              <w:t>《山西省医疗保障局办公室关于印发〈医疗保障行政处</w:t>
            </w:r>
            <w:r>
              <w:t>罚自由裁量基准〉的通知》（晋医保办发〔2021〕14</w:t>
            </w:r>
            <w:r>
              <w:rPr>
                <w:spacing w:val="-29"/>
              </w:rPr>
              <w:t xml:space="preserve"> </w:t>
            </w:r>
            <w:r>
              <w:t>号）</w:t>
            </w:r>
          </w:p>
          <w:p w14:paraId="C232125F">
            <w:pPr>
              <w:pStyle w:val="5"/>
              <w:spacing w:before="62" w:line="311" w:lineRule="auto"/>
              <w:ind w:left="118" w:right="22"/>
              <w:jc w:val="both"/>
            </w:pPr>
            <w:r>
              <w:rPr>
                <w:rFonts w:hint="eastAsia"/>
                <w:lang w:eastAsia="zh-CN"/>
              </w:rPr>
              <w:t>《医疗保障基金使用监督管理条例实施细则》第三十九条</w:t>
            </w:r>
          </w:p>
        </w:tc>
        <w:tc>
          <w:tcPr>
            <w:tcW w:w="1845" w:type="dxa"/>
          </w:tcPr>
          <w:p w14:paraId="0F5D5382">
            <w:pPr>
              <w:spacing w:line="245" w:lineRule="auto"/>
              <w:rPr>
                <w:rFonts w:ascii="Arial"/>
                <w:sz w:val="21"/>
              </w:rPr>
            </w:pPr>
          </w:p>
          <w:p w14:paraId="A1B0CBF5">
            <w:pPr>
              <w:spacing w:line="245" w:lineRule="auto"/>
              <w:rPr>
                <w:rFonts w:ascii="Arial"/>
                <w:sz w:val="21"/>
              </w:rPr>
            </w:pPr>
          </w:p>
          <w:p w14:paraId="71C385A1">
            <w:pPr>
              <w:spacing w:line="245" w:lineRule="auto"/>
              <w:rPr>
                <w:rFonts w:ascii="Arial"/>
                <w:sz w:val="21"/>
              </w:rPr>
            </w:pPr>
          </w:p>
          <w:p w14:paraId="5CD3A238">
            <w:pPr>
              <w:spacing w:line="246" w:lineRule="auto"/>
              <w:rPr>
                <w:rFonts w:ascii="Arial"/>
                <w:sz w:val="21"/>
              </w:rPr>
            </w:pPr>
          </w:p>
          <w:p w14:paraId="0BE2D301">
            <w:pPr>
              <w:pStyle w:val="5"/>
              <w:spacing w:before="62" w:line="228" w:lineRule="auto"/>
              <w:ind w:left="131"/>
            </w:pPr>
            <w:r>
              <w:rPr>
                <w:rFonts w:hint="eastAsia"/>
                <w:spacing w:val="8"/>
                <w:lang w:eastAsia="zh-CN"/>
              </w:rPr>
              <w:t>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2055" w:type="dxa"/>
          </w:tcPr>
          <w:p w14:paraId="48AAFCAF">
            <w:pPr>
              <w:spacing w:line="245" w:lineRule="auto"/>
              <w:rPr>
                <w:rFonts w:ascii="Arial"/>
                <w:sz w:val="21"/>
              </w:rPr>
            </w:pPr>
          </w:p>
          <w:p w14:paraId="4E893D2E">
            <w:pPr>
              <w:spacing w:line="245" w:lineRule="auto"/>
              <w:rPr>
                <w:rFonts w:ascii="Arial"/>
                <w:sz w:val="21"/>
              </w:rPr>
            </w:pPr>
          </w:p>
          <w:p w14:paraId="9F4119D6">
            <w:pPr>
              <w:spacing w:line="245" w:lineRule="auto"/>
              <w:rPr>
                <w:rFonts w:ascii="Arial"/>
                <w:sz w:val="21"/>
              </w:rPr>
            </w:pPr>
          </w:p>
          <w:p w14:paraId="AC8031D5">
            <w:pPr>
              <w:spacing w:line="246" w:lineRule="auto"/>
              <w:rPr>
                <w:rFonts w:ascii="Arial"/>
                <w:sz w:val="21"/>
              </w:rPr>
            </w:pPr>
          </w:p>
          <w:p w14:paraId="1E4B4603">
            <w:pPr>
              <w:pStyle w:val="5"/>
              <w:spacing w:before="62" w:line="229" w:lineRule="auto"/>
              <w:ind w:left="938"/>
            </w:pPr>
            <w:r>
              <w:t>否</w:t>
            </w:r>
          </w:p>
        </w:tc>
      </w:tr>
      <w:tr w14:paraId="93563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784" w:type="dxa"/>
          </w:tcPr>
          <w:p w14:paraId="2629E9C7">
            <w:pPr>
              <w:spacing w:line="295" w:lineRule="auto"/>
              <w:rPr>
                <w:rFonts w:ascii="Arial"/>
                <w:sz w:val="21"/>
              </w:rPr>
            </w:pPr>
          </w:p>
          <w:p w14:paraId="950C2097">
            <w:pPr>
              <w:spacing w:line="296" w:lineRule="auto"/>
              <w:rPr>
                <w:rFonts w:ascii="Arial"/>
                <w:sz w:val="21"/>
              </w:rPr>
            </w:pPr>
          </w:p>
          <w:p w14:paraId="84606C17">
            <w:pPr>
              <w:spacing w:line="296" w:lineRule="auto"/>
              <w:rPr>
                <w:rFonts w:ascii="Arial"/>
                <w:sz w:val="21"/>
              </w:rPr>
            </w:pPr>
          </w:p>
          <w:p w14:paraId="6EB64E2F">
            <w:pPr>
              <w:spacing w:line="296" w:lineRule="auto"/>
              <w:rPr>
                <w:rFonts w:ascii="Arial"/>
                <w:sz w:val="21"/>
              </w:rPr>
            </w:pPr>
          </w:p>
          <w:p w14:paraId="0584A5D0">
            <w:pPr>
              <w:pStyle w:val="5"/>
              <w:spacing w:before="62" w:line="255" w:lineRule="exact"/>
              <w:ind w:left="349"/>
            </w:pPr>
            <w:r>
              <w:rPr>
                <w:position w:val="1"/>
              </w:rPr>
              <w:t>5</w:t>
            </w:r>
          </w:p>
        </w:tc>
        <w:tc>
          <w:tcPr>
            <w:tcW w:w="7239" w:type="dxa"/>
          </w:tcPr>
          <w:p w14:paraId="D3EB6DA9">
            <w:pPr>
              <w:spacing w:line="383" w:lineRule="auto"/>
              <w:rPr>
                <w:rFonts w:ascii="Arial"/>
                <w:sz w:val="21"/>
              </w:rPr>
            </w:pPr>
          </w:p>
          <w:p w14:paraId="07F3B5BF">
            <w:pPr>
              <w:pStyle w:val="5"/>
              <w:spacing w:before="62" w:line="312" w:lineRule="auto"/>
              <w:ind w:left="111" w:right="103"/>
              <w:jc w:val="both"/>
            </w:pPr>
            <w:r>
              <w:rPr>
                <w:spacing w:val="5"/>
              </w:rPr>
              <w:t>个人以骗取医疗保障基金为目的，实施了下列规定行为之一，造成医疗保障基</w:t>
            </w:r>
            <w:r>
              <w:rPr>
                <w:spacing w:val="4"/>
              </w:rPr>
              <w:t>金损</w:t>
            </w:r>
            <w:r>
              <w:rPr>
                <w:spacing w:val="5"/>
              </w:rPr>
              <w:t>失的：将本人的医疗保障凭证交由他人冒名使用；重复享受医疗保障待遇；利</w:t>
            </w:r>
            <w:r>
              <w:rPr>
                <w:spacing w:val="4"/>
              </w:rPr>
              <w:t>用享</w:t>
            </w:r>
            <w:r>
              <w:rPr>
                <w:spacing w:val="5"/>
              </w:rPr>
              <w:t>受医疗保障待遇的机会转卖药品，接受返还现金、实物或者获得其他非法利益</w:t>
            </w:r>
            <w:r>
              <w:rPr>
                <w:spacing w:val="4"/>
              </w:rPr>
              <w:t>，造</w:t>
            </w:r>
            <w:r>
              <w:rPr>
                <w:spacing w:val="5"/>
              </w:rPr>
              <w:t>成医疗保障基金损失的；或者使用他人医疗保障凭证冒名就医、购药的：或者</w:t>
            </w:r>
            <w:r>
              <w:rPr>
                <w:spacing w:val="4"/>
              </w:rPr>
              <w:t>通过</w:t>
            </w:r>
            <w:r>
              <w:rPr>
                <w:spacing w:val="5"/>
              </w:rPr>
              <w:t>伪造、变造、隐匿、涂改、销毁医学文书、医学证明、会计凭证、电子信息等</w:t>
            </w:r>
            <w:r>
              <w:rPr>
                <w:spacing w:val="4"/>
              </w:rPr>
              <w:t>有关</w:t>
            </w:r>
            <w:r>
              <w:rPr>
                <w:spacing w:val="9"/>
              </w:rPr>
              <w:t>资料或者虚构医药服务项目等方式，骗取医疗保障基金支出</w:t>
            </w:r>
          </w:p>
        </w:tc>
        <w:tc>
          <w:tcPr>
            <w:tcW w:w="3655" w:type="dxa"/>
          </w:tcPr>
          <w:p w14:paraId="A30A5D25">
            <w:pPr>
              <w:spacing w:line="274" w:lineRule="auto"/>
              <w:rPr>
                <w:rFonts w:ascii="Arial"/>
                <w:sz w:val="21"/>
              </w:rPr>
            </w:pPr>
          </w:p>
          <w:p w14:paraId="38D97E25">
            <w:pPr>
              <w:spacing w:line="274" w:lineRule="auto"/>
              <w:rPr>
                <w:rFonts w:ascii="Arial"/>
                <w:sz w:val="21"/>
              </w:rPr>
            </w:pPr>
          </w:p>
          <w:p w14:paraId="3F377E72">
            <w:pPr>
              <w:pStyle w:val="5"/>
              <w:spacing w:before="62" w:line="311" w:lineRule="auto"/>
              <w:ind w:left="113" w:right="105"/>
              <w:jc w:val="both"/>
            </w:pPr>
            <w:r>
              <w:rPr>
                <w:spacing w:val="24"/>
              </w:rPr>
              <w:t>骗取的医保基金均由医保个人账户支</w:t>
            </w:r>
            <w:r>
              <w:rPr>
                <w:spacing w:val="11"/>
              </w:rPr>
              <w:t>付，不具有从重情节，且主动退还、及时纠正，未造成危害后果，可视作违法行为轻微并及时纠正，没有造成危害后</w:t>
            </w:r>
            <w:r>
              <w:rPr>
                <w:spacing w:val="8"/>
              </w:rPr>
              <w:t>果，不予处罚</w:t>
            </w:r>
          </w:p>
        </w:tc>
        <w:tc>
          <w:tcPr>
            <w:tcW w:w="4963" w:type="dxa"/>
          </w:tcPr>
          <w:p w14:paraId="299B8056">
            <w:pPr>
              <w:spacing w:line="288" w:lineRule="auto"/>
              <w:rPr>
                <w:rFonts w:ascii="Arial"/>
                <w:sz w:val="21"/>
              </w:rPr>
            </w:pPr>
          </w:p>
          <w:p w14:paraId="8756DBCE">
            <w:pPr>
              <w:spacing w:line="288" w:lineRule="auto"/>
              <w:rPr>
                <w:rFonts w:ascii="Arial"/>
                <w:sz w:val="21"/>
              </w:rPr>
            </w:pPr>
          </w:p>
          <w:p w14:paraId="D0FF0B1E">
            <w:pPr>
              <w:spacing w:line="288" w:lineRule="auto"/>
              <w:rPr>
                <w:rFonts w:ascii="Arial"/>
                <w:sz w:val="21"/>
              </w:rPr>
            </w:pPr>
          </w:p>
          <w:p w14:paraId="986BFFE0">
            <w:pPr>
              <w:pStyle w:val="5"/>
              <w:spacing w:before="62" w:line="312" w:lineRule="auto"/>
              <w:ind w:left="118" w:right="22"/>
              <w:jc w:val="both"/>
            </w:pPr>
            <w:r>
              <w:rPr>
                <w:spacing w:val="6"/>
              </w:rPr>
              <w:t>《医疗保障基金使用监督管理条例》第四十一条第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款</w:t>
            </w:r>
            <w:r>
              <w:rPr>
                <w:spacing w:val="7"/>
              </w:rPr>
              <w:t>《山西省医疗保障局办公室关于印发〈医疗保障行政处</w:t>
            </w:r>
            <w:r>
              <w:t>罚自由裁量基准〉的通知》（晋医保办发〔2021〕14</w:t>
            </w:r>
            <w:r>
              <w:rPr>
                <w:spacing w:val="-29"/>
              </w:rPr>
              <w:t xml:space="preserve"> </w:t>
            </w:r>
            <w:r>
              <w:t>号）</w:t>
            </w:r>
          </w:p>
        </w:tc>
        <w:tc>
          <w:tcPr>
            <w:tcW w:w="1845" w:type="dxa"/>
          </w:tcPr>
          <w:p w14:paraId="B90043B3">
            <w:pPr>
              <w:spacing w:line="295" w:lineRule="auto"/>
              <w:rPr>
                <w:rFonts w:ascii="Arial"/>
                <w:sz w:val="21"/>
              </w:rPr>
            </w:pPr>
          </w:p>
          <w:p w14:paraId="4BF48CBD">
            <w:pPr>
              <w:spacing w:line="296" w:lineRule="auto"/>
              <w:rPr>
                <w:rFonts w:ascii="Arial"/>
                <w:sz w:val="21"/>
              </w:rPr>
            </w:pPr>
          </w:p>
          <w:p w14:paraId="6C2AB2C7">
            <w:pPr>
              <w:spacing w:line="296" w:lineRule="auto"/>
              <w:rPr>
                <w:rFonts w:ascii="Arial"/>
                <w:sz w:val="21"/>
              </w:rPr>
            </w:pPr>
          </w:p>
          <w:p w14:paraId="09A5518F">
            <w:pPr>
              <w:spacing w:line="296" w:lineRule="auto"/>
              <w:rPr>
                <w:rFonts w:ascii="Arial"/>
                <w:sz w:val="21"/>
              </w:rPr>
            </w:pPr>
          </w:p>
          <w:p w14:paraId="388BC94A">
            <w:pPr>
              <w:pStyle w:val="5"/>
              <w:spacing w:before="62" w:line="228" w:lineRule="auto"/>
              <w:ind w:left="131"/>
            </w:pPr>
            <w:r>
              <w:rPr>
                <w:rFonts w:hint="eastAsia"/>
                <w:spacing w:val="8"/>
                <w:lang w:eastAsia="zh-CN"/>
              </w:rPr>
              <w:t>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2055" w:type="dxa"/>
          </w:tcPr>
          <w:p w14:paraId="DEA9FC1C">
            <w:pPr>
              <w:spacing w:line="295" w:lineRule="auto"/>
              <w:rPr>
                <w:rFonts w:ascii="Arial"/>
                <w:sz w:val="21"/>
              </w:rPr>
            </w:pPr>
          </w:p>
          <w:p w14:paraId="826AC165">
            <w:pPr>
              <w:spacing w:line="296" w:lineRule="auto"/>
              <w:rPr>
                <w:rFonts w:ascii="Arial"/>
                <w:sz w:val="21"/>
              </w:rPr>
            </w:pPr>
          </w:p>
          <w:p w14:paraId="946246EC">
            <w:pPr>
              <w:spacing w:line="296" w:lineRule="auto"/>
              <w:rPr>
                <w:rFonts w:ascii="Arial"/>
                <w:sz w:val="21"/>
              </w:rPr>
            </w:pPr>
          </w:p>
          <w:p w14:paraId="6DA2B1D2">
            <w:pPr>
              <w:spacing w:line="296" w:lineRule="auto"/>
              <w:rPr>
                <w:rFonts w:ascii="Arial"/>
                <w:sz w:val="21"/>
              </w:rPr>
            </w:pPr>
          </w:p>
          <w:p w14:paraId="B9BC7093">
            <w:pPr>
              <w:pStyle w:val="5"/>
              <w:spacing w:before="61" w:line="229" w:lineRule="auto"/>
              <w:ind w:left="938"/>
            </w:pPr>
            <w:r>
              <w:t>否</w:t>
            </w:r>
          </w:p>
        </w:tc>
      </w:tr>
    </w:tbl>
    <w:p w14:paraId="D87DB8F4">
      <w:pPr>
        <w:rPr>
          <w:rFonts w:ascii="Arial"/>
          <w:sz w:val="21"/>
        </w:rPr>
      </w:pPr>
    </w:p>
    <w:sectPr>
      <w:pgSz w:w="23812" w:h="16839"/>
      <w:pgMar w:top="1431" w:right="1632" w:bottom="0" w:left="16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F5A51"/>
    <w:rsid w:val="3C1C6B44"/>
    <w:rsid w:val="3F836EDA"/>
    <w:rsid w:val="5BFB00CD"/>
    <w:rsid w:val="741D7EEB"/>
    <w:rsid w:val="7DF54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1216</Words>
  <Characters>1237</Characters>
  <Paragraphs>132</Paragraphs>
  <TotalTime>3</TotalTime>
  <ScaleCrop>false</ScaleCrop>
  <LinksUpToDate>false</LinksUpToDate>
  <CharactersWithSpaces>1250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2025-01-03T18:23:00Z</dcterms:created>
  <dc:creator>lenovo</dc:creator>
  <cp:lastModifiedBy>常伟</cp:lastModifiedBy>
  <dcterms:modified xsi:type="dcterms:W3CDTF">2026-05-27T04:00:49Z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ICV">
    <vt:lpwstr>7FC2CF00E8E14DCAB47C8ED90544456B_13</vt:lpwstr>
  </property>
  <property fmtid="{D5CDD505-2E9C-101B-9397-08002B2CF9AE}" pid="4" name="KSOTemplateDocerSaveRecord">
    <vt:lpwstr>eyJoZGlkIjoiMmMyNTU5YWRkMWZhMzFlNzI5ZGFkZTE1OWI3NTkxZTIiLCJ1c2VySWQiOiIyODIyMDQ4NDYifQ==</vt:lpwstr>
  </property>
  <property fmtid="{D5CDD505-2E9C-101B-9397-08002B2CF9AE}" pid="5" name="KSOProductBuildVer">
    <vt:lpwstr>2052-12.1.0.26375</vt:lpwstr>
  </property>
</Properties>
</file>