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CFCFC"/>
        <w:spacing w:beforeAutospacing="0" w:after="120" w:afterAutospacing="0" w:line="510" w:lineRule="atLeast"/>
        <w:ind w:firstLine="3534" w:firstLineChars="1100"/>
        <w:textAlignment w:val="baseline"/>
        <w:rPr>
          <w:rFonts w:hint="eastAsia" w:ascii="宋体" w:hAnsi="宋体" w:eastAsia="宋体" w:cs="宋体"/>
          <w:color w:val="333333"/>
          <w:sz w:val="32"/>
          <w:szCs w:val="32"/>
        </w:rPr>
      </w:pPr>
      <w:bookmarkStart w:id="0" w:name="_GoBack"/>
      <w:r>
        <w:rPr>
          <w:rFonts w:hint="eastAsia" w:ascii="宋体" w:hAnsi="宋体" w:eastAsia="宋体" w:cs="宋体"/>
          <w:color w:val="333333"/>
          <w:sz w:val="32"/>
          <w:szCs w:val="32"/>
          <w:shd w:val="clear" w:color="auto" w:fill="FCFCFC"/>
        </w:rPr>
        <w:t>广告“双随机、一公开”抽查现场检查表</w:t>
      </w:r>
    </w:p>
    <w:bookmarkEnd w:id="0"/>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1924"/>
        <w:gridCol w:w="750"/>
        <w:gridCol w:w="5126"/>
        <w:gridCol w:w="1054"/>
        <w:gridCol w:w="1035"/>
        <w:gridCol w:w="930"/>
        <w:gridCol w:w="1031"/>
        <w:gridCol w:w="98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 w:type="dxa"/>
          </w:tcPr>
          <w:p>
            <w:pPr>
              <w:rPr>
                <w:sz w:val="18"/>
                <w:szCs w:val="18"/>
              </w:rPr>
            </w:pPr>
            <w:r>
              <w:rPr>
                <w:rFonts w:hint="eastAsia"/>
                <w:sz w:val="18"/>
                <w:szCs w:val="18"/>
              </w:rPr>
              <w:t>序号</w:t>
            </w:r>
          </w:p>
        </w:tc>
        <w:tc>
          <w:tcPr>
            <w:tcW w:w="1924" w:type="dxa"/>
            <w:vAlign w:val="bottom"/>
          </w:tcPr>
          <w:p>
            <w:pPr>
              <w:jc w:val="center"/>
              <w:rPr>
                <w:sz w:val="18"/>
                <w:szCs w:val="18"/>
              </w:rPr>
            </w:pPr>
          </w:p>
          <w:p>
            <w:pPr>
              <w:jc w:val="center"/>
              <w:rPr>
                <w:sz w:val="18"/>
                <w:szCs w:val="18"/>
              </w:rPr>
            </w:pPr>
            <w:r>
              <w:rPr>
                <w:rFonts w:hint="eastAsia"/>
                <w:sz w:val="18"/>
                <w:szCs w:val="18"/>
              </w:rPr>
              <w:t>抽查任务名称</w:t>
            </w:r>
          </w:p>
        </w:tc>
        <w:tc>
          <w:tcPr>
            <w:tcW w:w="750" w:type="dxa"/>
            <w:vAlign w:val="bottom"/>
          </w:tcPr>
          <w:p>
            <w:pPr>
              <w:jc w:val="center"/>
              <w:rPr>
                <w:sz w:val="18"/>
                <w:szCs w:val="18"/>
              </w:rPr>
            </w:pPr>
          </w:p>
          <w:p>
            <w:pPr>
              <w:jc w:val="center"/>
              <w:rPr>
                <w:sz w:val="18"/>
                <w:szCs w:val="18"/>
              </w:rPr>
            </w:pPr>
            <w:r>
              <w:rPr>
                <w:rFonts w:hint="eastAsia"/>
                <w:sz w:val="18"/>
                <w:szCs w:val="18"/>
              </w:rPr>
              <w:t>抽 查</w:t>
            </w:r>
          </w:p>
          <w:p>
            <w:pPr>
              <w:jc w:val="center"/>
              <w:rPr>
                <w:sz w:val="18"/>
                <w:szCs w:val="18"/>
              </w:rPr>
            </w:pPr>
            <w:r>
              <w:rPr>
                <w:rFonts w:hint="eastAsia"/>
                <w:sz w:val="18"/>
                <w:szCs w:val="18"/>
              </w:rPr>
              <w:t>类 型</w:t>
            </w:r>
          </w:p>
        </w:tc>
        <w:tc>
          <w:tcPr>
            <w:tcW w:w="5126" w:type="dxa"/>
            <w:vAlign w:val="bottom"/>
          </w:tcPr>
          <w:p>
            <w:pPr>
              <w:ind w:firstLine="720" w:firstLineChars="400"/>
              <w:jc w:val="center"/>
              <w:rPr>
                <w:sz w:val="18"/>
                <w:szCs w:val="18"/>
              </w:rPr>
            </w:pPr>
          </w:p>
          <w:p>
            <w:pPr>
              <w:ind w:firstLine="2160" w:firstLineChars="1200"/>
              <w:jc w:val="both"/>
              <w:rPr>
                <w:sz w:val="18"/>
                <w:szCs w:val="18"/>
              </w:rPr>
            </w:pPr>
            <w:r>
              <w:rPr>
                <w:rFonts w:hint="eastAsia"/>
                <w:sz w:val="18"/>
                <w:szCs w:val="18"/>
              </w:rPr>
              <w:t>抽查事项</w:t>
            </w:r>
          </w:p>
        </w:tc>
        <w:tc>
          <w:tcPr>
            <w:tcW w:w="1054" w:type="dxa"/>
            <w:vAlign w:val="bottom"/>
          </w:tcPr>
          <w:p>
            <w:pPr>
              <w:jc w:val="center"/>
              <w:rPr>
                <w:sz w:val="18"/>
                <w:szCs w:val="18"/>
              </w:rPr>
            </w:pPr>
            <w:r>
              <w:rPr>
                <w:rFonts w:hint="eastAsia"/>
                <w:sz w:val="18"/>
                <w:szCs w:val="18"/>
              </w:rPr>
              <w:t>抽查比例和频次</w:t>
            </w:r>
          </w:p>
        </w:tc>
        <w:tc>
          <w:tcPr>
            <w:tcW w:w="1035" w:type="dxa"/>
            <w:vAlign w:val="bottom"/>
          </w:tcPr>
          <w:p>
            <w:pPr>
              <w:jc w:val="center"/>
              <w:rPr>
                <w:rFonts w:hint="eastAsia"/>
                <w:sz w:val="18"/>
                <w:szCs w:val="18"/>
              </w:rPr>
            </w:pPr>
            <w:r>
              <w:rPr>
                <w:rFonts w:hint="eastAsia"/>
                <w:sz w:val="18"/>
                <w:szCs w:val="18"/>
              </w:rPr>
              <w:t>抽查对</w:t>
            </w:r>
          </w:p>
          <w:p>
            <w:pPr>
              <w:jc w:val="center"/>
              <w:rPr>
                <w:sz w:val="18"/>
                <w:szCs w:val="18"/>
              </w:rPr>
            </w:pPr>
            <w:r>
              <w:rPr>
                <w:rFonts w:hint="eastAsia"/>
                <w:sz w:val="18"/>
                <w:szCs w:val="18"/>
              </w:rPr>
              <w:t>象范围</w:t>
            </w:r>
          </w:p>
        </w:tc>
        <w:tc>
          <w:tcPr>
            <w:tcW w:w="930" w:type="dxa"/>
            <w:vAlign w:val="bottom"/>
          </w:tcPr>
          <w:p>
            <w:pPr>
              <w:jc w:val="center"/>
              <w:rPr>
                <w:rFonts w:hint="eastAsia"/>
                <w:sz w:val="18"/>
                <w:szCs w:val="18"/>
              </w:rPr>
            </w:pPr>
            <w:r>
              <w:rPr>
                <w:rFonts w:hint="eastAsia"/>
                <w:sz w:val="18"/>
                <w:szCs w:val="18"/>
              </w:rPr>
              <w:t>抽查</w:t>
            </w:r>
          </w:p>
          <w:p>
            <w:pPr>
              <w:jc w:val="center"/>
              <w:rPr>
                <w:sz w:val="18"/>
                <w:szCs w:val="18"/>
              </w:rPr>
            </w:pPr>
            <w:r>
              <w:rPr>
                <w:rFonts w:hint="eastAsia"/>
                <w:sz w:val="18"/>
                <w:szCs w:val="18"/>
              </w:rPr>
              <w:t>人员</w:t>
            </w:r>
          </w:p>
        </w:tc>
        <w:tc>
          <w:tcPr>
            <w:tcW w:w="1031" w:type="dxa"/>
            <w:vAlign w:val="bottom"/>
          </w:tcPr>
          <w:p>
            <w:pPr>
              <w:jc w:val="center"/>
              <w:rPr>
                <w:rFonts w:hint="eastAsia"/>
                <w:sz w:val="18"/>
                <w:szCs w:val="18"/>
              </w:rPr>
            </w:pPr>
            <w:r>
              <w:rPr>
                <w:rFonts w:hint="eastAsia"/>
                <w:sz w:val="18"/>
                <w:szCs w:val="18"/>
              </w:rPr>
              <w:t>信用风险</w:t>
            </w:r>
          </w:p>
          <w:p>
            <w:pPr>
              <w:jc w:val="center"/>
              <w:rPr>
                <w:sz w:val="18"/>
                <w:szCs w:val="18"/>
              </w:rPr>
            </w:pPr>
            <w:r>
              <w:rPr>
                <w:rFonts w:hint="eastAsia"/>
                <w:sz w:val="18"/>
                <w:szCs w:val="18"/>
              </w:rPr>
              <w:t>分类管理</w:t>
            </w:r>
          </w:p>
        </w:tc>
        <w:tc>
          <w:tcPr>
            <w:tcW w:w="982" w:type="dxa"/>
            <w:vAlign w:val="bottom"/>
          </w:tcPr>
          <w:p>
            <w:pPr>
              <w:jc w:val="center"/>
              <w:rPr>
                <w:sz w:val="18"/>
                <w:szCs w:val="18"/>
              </w:rPr>
            </w:pPr>
            <w:r>
              <w:rPr>
                <w:rFonts w:hint="eastAsia"/>
                <w:sz w:val="18"/>
                <w:szCs w:val="18"/>
              </w:rPr>
              <w:t>抽查检查起止时间</w:t>
            </w:r>
          </w:p>
        </w:tc>
        <w:tc>
          <w:tcPr>
            <w:tcW w:w="777" w:type="dxa"/>
            <w:vAlign w:val="bottom"/>
          </w:tcPr>
          <w:p>
            <w:pPr>
              <w:jc w:val="center"/>
              <w:rPr>
                <w:sz w:val="18"/>
                <w:szCs w:val="18"/>
              </w:rPr>
            </w:pPr>
          </w:p>
          <w:p>
            <w:pPr>
              <w:ind w:firstLine="180" w:firstLineChars="100"/>
              <w:jc w:val="center"/>
              <w:rPr>
                <w:sz w:val="18"/>
                <w:szCs w:val="18"/>
              </w:rPr>
            </w:pPr>
            <w:r>
              <w:rPr>
                <w:rFonts w:hint="eastAsia"/>
                <w:sz w:val="18"/>
                <w:szCs w:val="18"/>
              </w:rPr>
              <w:t>发起</w:t>
            </w:r>
          </w:p>
          <w:p>
            <w:pPr>
              <w:ind w:firstLine="180" w:firstLineChars="100"/>
              <w:jc w:val="center"/>
              <w:rPr>
                <w:sz w:val="18"/>
                <w:szCs w:val="18"/>
              </w:rPr>
            </w:pPr>
            <w:r>
              <w:rPr>
                <w:rFonts w:hint="eastAsia"/>
                <w:sz w:val="18"/>
                <w:szCs w:val="1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371" w:type="dxa"/>
          </w:tcPr>
          <w:p>
            <w:pPr>
              <w:rPr>
                <w:sz w:val="18"/>
                <w:szCs w:val="18"/>
              </w:rPr>
            </w:pPr>
          </w:p>
          <w:p>
            <w:pPr>
              <w:rPr>
                <w:sz w:val="18"/>
                <w:szCs w:val="18"/>
              </w:rPr>
            </w:pPr>
          </w:p>
          <w:p>
            <w:pPr>
              <w:rPr>
                <w:sz w:val="18"/>
                <w:szCs w:val="18"/>
              </w:rPr>
            </w:pPr>
            <w:r>
              <w:rPr>
                <w:rFonts w:hint="eastAsia"/>
                <w:sz w:val="18"/>
                <w:szCs w:val="18"/>
              </w:rPr>
              <w:t>1</w:t>
            </w:r>
          </w:p>
        </w:tc>
        <w:tc>
          <w:tcPr>
            <w:tcW w:w="1924" w:type="dxa"/>
          </w:tcPr>
          <w:p>
            <w:pPr>
              <w:rPr>
                <w:sz w:val="18"/>
                <w:szCs w:val="18"/>
              </w:rPr>
            </w:pPr>
          </w:p>
          <w:p>
            <w:pPr>
              <w:rPr>
                <w:sz w:val="18"/>
                <w:szCs w:val="18"/>
              </w:rPr>
            </w:pPr>
          </w:p>
          <w:p>
            <w:pPr>
              <w:rPr>
                <w:sz w:val="18"/>
                <w:szCs w:val="18"/>
              </w:rPr>
            </w:pPr>
            <w:r>
              <w:rPr>
                <w:rFonts w:hint="eastAsia"/>
                <w:sz w:val="18"/>
                <w:szCs w:val="18"/>
              </w:rPr>
              <w:t>对广告经营者、广告发布者建立、健全广告业务的承接登记、审核、档案管理制度情况的双随机抽查</w:t>
            </w:r>
          </w:p>
        </w:tc>
        <w:tc>
          <w:tcPr>
            <w:tcW w:w="750" w:type="dxa"/>
          </w:tcPr>
          <w:p>
            <w:pPr>
              <w:rPr>
                <w:sz w:val="18"/>
                <w:szCs w:val="18"/>
              </w:rPr>
            </w:pPr>
          </w:p>
          <w:p>
            <w:pPr>
              <w:rPr>
                <w:sz w:val="18"/>
                <w:szCs w:val="18"/>
              </w:rPr>
            </w:pPr>
          </w:p>
          <w:p>
            <w:pPr>
              <w:rPr>
                <w:sz w:val="18"/>
                <w:szCs w:val="18"/>
              </w:rPr>
            </w:pPr>
          </w:p>
          <w:p>
            <w:pPr>
              <w:rPr>
                <w:sz w:val="18"/>
                <w:szCs w:val="18"/>
              </w:rPr>
            </w:pPr>
            <w:r>
              <w:rPr>
                <w:rFonts w:hint="eastAsia"/>
                <w:sz w:val="18"/>
                <w:szCs w:val="18"/>
              </w:rPr>
              <w:t>定向</w:t>
            </w:r>
          </w:p>
        </w:tc>
        <w:tc>
          <w:tcPr>
            <w:tcW w:w="5126" w:type="dxa"/>
          </w:tcPr>
          <w:p>
            <w:pPr>
              <w:rPr>
                <w:rFonts w:hint="eastAsia" w:ascii="宋体" w:hAnsi="宋体" w:eastAsia="宋体" w:cs="宋体"/>
                <w:sz w:val="18"/>
                <w:szCs w:val="18"/>
                <w:lang w:eastAsia="zh-CN"/>
              </w:rPr>
            </w:pPr>
            <w:r>
              <w:rPr>
                <w:rFonts w:hint="eastAsia" w:ascii="宋体" w:hAnsi="宋体" w:eastAsia="宋体" w:cs="宋体"/>
                <w:sz w:val="18"/>
                <w:szCs w:val="18"/>
              </w:rPr>
              <w:t>（1）广告经营企业的主体资格等证明文件是否真实有效；（2）广告经营者在未取得其书面同意的情况下，广告行为中使用他人名义或者形象的；（3）广告经营者在未取得其监护人的书面同意的情况下，广告行为中使用无民事行为能力人、限制民事行为能力人的名义或形象的；（4）广告经营者在广告行为中使用对法律法规规定禁止生产、销售的产品或者提供服务的，以及禁止广告经营的商品或者服务的；(5)广告经营者的广告业务承接登记、审核、档案管理、统计报表等基本管理制度的建立和执行情况</w:t>
            </w:r>
            <w:r>
              <w:rPr>
                <w:rFonts w:hint="eastAsia" w:ascii="宋体" w:hAnsi="宋体" w:eastAsia="宋体" w:cs="宋体"/>
                <w:sz w:val="18"/>
                <w:szCs w:val="18"/>
                <w:lang w:eastAsia="zh-CN"/>
              </w:rPr>
              <w:t>。</w:t>
            </w:r>
          </w:p>
          <w:p>
            <w:pPr>
              <w:rPr>
                <w:sz w:val="18"/>
                <w:szCs w:val="18"/>
              </w:rPr>
            </w:pPr>
          </w:p>
        </w:tc>
        <w:tc>
          <w:tcPr>
            <w:tcW w:w="1054" w:type="dxa"/>
          </w:tcPr>
          <w:p>
            <w:pPr>
              <w:rPr>
                <w:sz w:val="18"/>
                <w:szCs w:val="18"/>
              </w:rPr>
            </w:pPr>
          </w:p>
          <w:p>
            <w:pPr>
              <w:rPr>
                <w:sz w:val="18"/>
                <w:szCs w:val="18"/>
              </w:rPr>
            </w:pPr>
          </w:p>
          <w:p>
            <w:pPr>
              <w:ind w:firstLine="180" w:firstLineChars="100"/>
              <w:rPr>
                <w:rFonts w:hint="eastAsia"/>
                <w:sz w:val="18"/>
                <w:szCs w:val="18"/>
              </w:rPr>
            </w:pPr>
          </w:p>
          <w:p>
            <w:pPr>
              <w:ind w:firstLine="180" w:firstLineChars="100"/>
              <w:rPr>
                <w:rFonts w:hint="eastAsia"/>
                <w:sz w:val="18"/>
                <w:szCs w:val="18"/>
              </w:rPr>
            </w:pPr>
            <w:r>
              <w:rPr>
                <w:rFonts w:hint="eastAsia"/>
                <w:sz w:val="18"/>
                <w:szCs w:val="18"/>
              </w:rPr>
              <w:t>30%</w:t>
            </w:r>
          </w:p>
          <w:p>
            <w:pPr>
              <w:rPr>
                <w:sz w:val="18"/>
                <w:szCs w:val="18"/>
              </w:rPr>
            </w:pPr>
            <w:r>
              <w:rPr>
                <w:rFonts w:hint="eastAsia"/>
                <w:sz w:val="18"/>
                <w:szCs w:val="18"/>
              </w:rPr>
              <w:t>抽查1次</w:t>
            </w:r>
          </w:p>
        </w:tc>
        <w:tc>
          <w:tcPr>
            <w:tcW w:w="1035" w:type="dxa"/>
          </w:tcPr>
          <w:p>
            <w:pPr>
              <w:rPr>
                <w:rFonts w:hint="eastAsia"/>
                <w:sz w:val="18"/>
                <w:szCs w:val="18"/>
              </w:rPr>
            </w:pPr>
          </w:p>
          <w:p>
            <w:pPr>
              <w:rPr>
                <w:rFonts w:hint="eastAsia"/>
                <w:sz w:val="18"/>
                <w:szCs w:val="18"/>
              </w:rPr>
            </w:pPr>
          </w:p>
          <w:p>
            <w:pPr>
              <w:rPr>
                <w:rFonts w:hint="eastAsia"/>
                <w:sz w:val="18"/>
                <w:szCs w:val="18"/>
              </w:rPr>
            </w:pPr>
          </w:p>
          <w:p>
            <w:pPr>
              <w:rPr>
                <w:sz w:val="18"/>
                <w:szCs w:val="18"/>
              </w:rPr>
            </w:pPr>
            <w:r>
              <w:rPr>
                <w:rFonts w:hint="eastAsia"/>
                <w:sz w:val="18"/>
                <w:szCs w:val="18"/>
              </w:rPr>
              <w:t>全县主营或兼营广告的企业</w:t>
            </w:r>
          </w:p>
        </w:tc>
        <w:tc>
          <w:tcPr>
            <w:tcW w:w="930" w:type="dxa"/>
          </w:tcPr>
          <w:p>
            <w:pPr>
              <w:rPr>
                <w:rFonts w:hint="eastAsia"/>
                <w:sz w:val="18"/>
                <w:szCs w:val="18"/>
              </w:rPr>
            </w:pPr>
          </w:p>
          <w:p>
            <w:pPr>
              <w:rPr>
                <w:rFonts w:hint="eastAsia"/>
                <w:sz w:val="18"/>
                <w:szCs w:val="18"/>
              </w:rPr>
            </w:pPr>
          </w:p>
          <w:p>
            <w:pPr>
              <w:rPr>
                <w:rFonts w:hint="eastAsia"/>
                <w:sz w:val="18"/>
                <w:szCs w:val="18"/>
                <w:lang w:eastAsia="zh-CN"/>
              </w:rPr>
            </w:pPr>
          </w:p>
          <w:p>
            <w:pPr>
              <w:rPr>
                <w:sz w:val="18"/>
                <w:szCs w:val="18"/>
              </w:rPr>
            </w:pPr>
            <w:r>
              <w:rPr>
                <w:rFonts w:hint="eastAsia"/>
                <w:sz w:val="18"/>
                <w:szCs w:val="18"/>
                <w:lang w:eastAsia="zh-CN"/>
              </w:rPr>
              <w:t>全局</w:t>
            </w:r>
            <w:r>
              <w:rPr>
                <w:rFonts w:hint="eastAsia"/>
                <w:sz w:val="18"/>
                <w:szCs w:val="18"/>
              </w:rPr>
              <w:t>执法人员</w:t>
            </w:r>
          </w:p>
        </w:tc>
        <w:tc>
          <w:tcPr>
            <w:tcW w:w="1031" w:type="dxa"/>
            <w:vMerge w:val="restart"/>
          </w:tcPr>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r>
              <w:rPr>
                <w:rFonts w:hint="eastAsia"/>
                <w:sz w:val="18"/>
                <w:szCs w:val="18"/>
              </w:rPr>
              <w:t>根据企业信用风险分类结果，对低风险、一般风险、较高风险、高风险企业分别递加比例抽查</w:t>
            </w:r>
          </w:p>
        </w:tc>
        <w:tc>
          <w:tcPr>
            <w:tcW w:w="982" w:type="dxa"/>
            <w:vMerge w:val="restart"/>
          </w:tcPr>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r>
              <w:rPr>
                <w:rFonts w:hint="eastAsia"/>
                <w:sz w:val="18"/>
                <w:szCs w:val="18"/>
                <w:lang w:val="en-US" w:eastAsia="zh-CN"/>
              </w:rPr>
              <w:t>4</w:t>
            </w:r>
            <w:r>
              <w:rPr>
                <w:rFonts w:hint="eastAsia"/>
                <w:sz w:val="18"/>
                <w:szCs w:val="18"/>
              </w:rPr>
              <w:t>月-</w:t>
            </w:r>
            <w:r>
              <w:rPr>
                <w:rFonts w:hint="eastAsia"/>
                <w:sz w:val="18"/>
                <w:szCs w:val="18"/>
                <w:lang w:val="en-US" w:eastAsia="zh-CN"/>
              </w:rPr>
              <w:t>7</w:t>
            </w:r>
            <w:r>
              <w:rPr>
                <w:rFonts w:hint="eastAsia"/>
                <w:sz w:val="18"/>
                <w:szCs w:val="18"/>
              </w:rPr>
              <w:t>月</w:t>
            </w:r>
          </w:p>
        </w:tc>
        <w:tc>
          <w:tcPr>
            <w:tcW w:w="777" w:type="dxa"/>
          </w:tcPr>
          <w:p>
            <w:pPr>
              <w:rPr>
                <w:sz w:val="18"/>
                <w:szCs w:val="18"/>
              </w:rPr>
            </w:pPr>
          </w:p>
          <w:p>
            <w:pPr>
              <w:rPr>
                <w:sz w:val="18"/>
                <w:szCs w:val="18"/>
              </w:rPr>
            </w:pPr>
          </w:p>
          <w:p>
            <w:pPr>
              <w:rPr>
                <w:sz w:val="18"/>
                <w:szCs w:val="18"/>
              </w:rPr>
            </w:pPr>
          </w:p>
          <w:p>
            <w:pPr>
              <w:rPr>
                <w:rFonts w:hint="eastAsia"/>
                <w:sz w:val="18"/>
                <w:szCs w:val="18"/>
              </w:rPr>
            </w:pPr>
          </w:p>
          <w:p>
            <w:pPr>
              <w:rPr>
                <w:sz w:val="18"/>
                <w:szCs w:val="18"/>
              </w:rPr>
            </w:pPr>
            <w:r>
              <w:rPr>
                <w:rFonts w:hint="eastAsia"/>
                <w:sz w:val="18"/>
                <w:szCs w:val="18"/>
              </w:rPr>
              <w:t>市场股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371" w:type="dxa"/>
          </w:tcPr>
          <w:p>
            <w:pPr>
              <w:rPr>
                <w:sz w:val="18"/>
                <w:szCs w:val="18"/>
              </w:rPr>
            </w:pPr>
          </w:p>
          <w:p>
            <w:pPr>
              <w:rPr>
                <w:sz w:val="18"/>
                <w:szCs w:val="18"/>
              </w:rPr>
            </w:pPr>
          </w:p>
          <w:p>
            <w:pPr>
              <w:rPr>
                <w:sz w:val="18"/>
                <w:szCs w:val="18"/>
              </w:rPr>
            </w:pPr>
            <w:r>
              <w:rPr>
                <w:rFonts w:hint="eastAsia"/>
                <w:sz w:val="18"/>
                <w:szCs w:val="18"/>
              </w:rPr>
              <w:t>2</w:t>
            </w:r>
          </w:p>
        </w:tc>
        <w:tc>
          <w:tcPr>
            <w:tcW w:w="1924" w:type="dxa"/>
          </w:tcPr>
          <w:p>
            <w:pPr>
              <w:rPr>
                <w:sz w:val="18"/>
                <w:szCs w:val="18"/>
              </w:rPr>
            </w:pPr>
          </w:p>
          <w:p>
            <w:pPr>
              <w:rPr>
                <w:sz w:val="18"/>
                <w:szCs w:val="18"/>
              </w:rPr>
            </w:pPr>
            <w:r>
              <w:rPr>
                <w:rFonts w:hint="eastAsia"/>
                <w:sz w:val="18"/>
                <w:szCs w:val="18"/>
              </w:rPr>
              <w:t>对药品、医疗器械、保健食品、特殊医学用途配方食品广告主发布相关广告的审查批准情况的双随机抽查</w:t>
            </w:r>
          </w:p>
        </w:tc>
        <w:tc>
          <w:tcPr>
            <w:tcW w:w="750" w:type="dxa"/>
          </w:tcPr>
          <w:p>
            <w:pPr>
              <w:rPr>
                <w:sz w:val="18"/>
                <w:szCs w:val="18"/>
              </w:rPr>
            </w:pPr>
          </w:p>
          <w:p>
            <w:pPr>
              <w:rPr>
                <w:sz w:val="18"/>
                <w:szCs w:val="18"/>
              </w:rPr>
            </w:pPr>
          </w:p>
          <w:p>
            <w:pPr>
              <w:rPr>
                <w:sz w:val="18"/>
                <w:szCs w:val="18"/>
              </w:rPr>
            </w:pPr>
            <w:r>
              <w:rPr>
                <w:rFonts w:hint="eastAsia"/>
                <w:sz w:val="18"/>
                <w:szCs w:val="18"/>
              </w:rPr>
              <w:t>定向</w:t>
            </w:r>
          </w:p>
        </w:tc>
        <w:tc>
          <w:tcPr>
            <w:tcW w:w="5126" w:type="dxa"/>
          </w:tcPr>
          <w:p>
            <w:pPr>
              <w:rPr>
                <w:rFonts w:hint="eastAsia" w:eastAsiaTheme="minorEastAsia"/>
                <w:sz w:val="18"/>
                <w:szCs w:val="18"/>
                <w:lang w:eastAsia="zh-CN"/>
              </w:rPr>
            </w:pPr>
            <w:r>
              <w:rPr>
                <w:rFonts w:hint="eastAsia"/>
                <w:sz w:val="18"/>
                <w:szCs w:val="18"/>
              </w:rPr>
              <w:t>（1）申请企业主体资格等证明文件是否真实有效；（2）广告审查程序是</w:t>
            </w:r>
            <w:r>
              <w:rPr>
                <w:rFonts w:hint="eastAsia"/>
                <w:sz w:val="18"/>
                <w:szCs w:val="18"/>
                <w:lang w:eastAsia="zh-CN"/>
              </w:rPr>
              <w:t>否</w:t>
            </w:r>
            <w:r>
              <w:rPr>
                <w:rFonts w:hint="eastAsia"/>
                <w:sz w:val="18"/>
                <w:szCs w:val="18"/>
              </w:rPr>
              <w:t>合法；（3）“三品一械”广告的发布情况，广告发布内容是否按照审批内容进行发布，广告发布内容是否违法；（4）法律规定应当显著标明的是否在广告是显著标明</w:t>
            </w:r>
            <w:r>
              <w:rPr>
                <w:rFonts w:hint="eastAsia"/>
                <w:sz w:val="18"/>
                <w:szCs w:val="18"/>
                <w:lang w:eastAsia="zh-CN"/>
              </w:rPr>
              <w:t>。</w:t>
            </w:r>
          </w:p>
        </w:tc>
        <w:tc>
          <w:tcPr>
            <w:tcW w:w="1054" w:type="dxa"/>
          </w:tcPr>
          <w:p>
            <w:pPr>
              <w:rPr>
                <w:sz w:val="18"/>
                <w:szCs w:val="18"/>
              </w:rPr>
            </w:pPr>
          </w:p>
          <w:p>
            <w:pPr>
              <w:rPr>
                <w:sz w:val="18"/>
                <w:szCs w:val="18"/>
              </w:rPr>
            </w:pPr>
          </w:p>
          <w:p>
            <w:pPr>
              <w:ind w:firstLine="180" w:firstLineChars="100"/>
              <w:rPr>
                <w:rFonts w:hint="eastAsia"/>
                <w:sz w:val="18"/>
                <w:szCs w:val="18"/>
              </w:rPr>
            </w:pPr>
            <w:r>
              <w:rPr>
                <w:rFonts w:hint="eastAsia"/>
                <w:sz w:val="18"/>
                <w:szCs w:val="18"/>
              </w:rPr>
              <w:t>30%</w:t>
            </w:r>
          </w:p>
          <w:p>
            <w:pPr>
              <w:rPr>
                <w:sz w:val="18"/>
                <w:szCs w:val="18"/>
              </w:rPr>
            </w:pPr>
            <w:r>
              <w:rPr>
                <w:rFonts w:hint="eastAsia"/>
                <w:sz w:val="18"/>
                <w:szCs w:val="18"/>
              </w:rPr>
              <w:t>抽查1次</w:t>
            </w:r>
          </w:p>
        </w:tc>
        <w:tc>
          <w:tcPr>
            <w:tcW w:w="1035" w:type="dxa"/>
          </w:tcPr>
          <w:p>
            <w:pPr>
              <w:rPr>
                <w:sz w:val="18"/>
                <w:szCs w:val="18"/>
              </w:rPr>
            </w:pPr>
          </w:p>
          <w:p>
            <w:pPr>
              <w:rPr>
                <w:sz w:val="18"/>
                <w:szCs w:val="18"/>
              </w:rPr>
            </w:pPr>
          </w:p>
          <w:p>
            <w:pPr>
              <w:rPr>
                <w:sz w:val="18"/>
                <w:szCs w:val="18"/>
              </w:rPr>
            </w:pPr>
            <w:r>
              <w:rPr>
                <w:rFonts w:hint="eastAsia"/>
                <w:sz w:val="18"/>
                <w:szCs w:val="18"/>
              </w:rPr>
              <w:t>全县医疗机构及药店</w:t>
            </w:r>
          </w:p>
        </w:tc>
        <w:tc>
          <w:tcPr>
            <w:tcW w:w="930" w:type="dxa"/>
          </w:tcPr>
          <w:p>
            <w:pPr>
              <w:rPr>
                <w:sz w:val="18"/>
                <w:szCs w:val="18"/>
              </w:rPr>
            </w:pPr>
          </w:p>
          <w:p>
            <w:pPr>
              <w:rPr>
                <w:sz w:val="18"/>
                <w:szCs w:val="18"/>
              </w:rPr>
            </w:pPr>
          </w:p>
          <w:p>
            <w:pPr>
              <w:rPr>
                <w:sz w:val="18"/>
                <w:szCs w:val="18"/>
              </w:rPr>
            </w:pPr>
            <w:r>
              <w:rPr>
                <w:rFonts w:hint="eastAsia"/>
                <w:sz w:val="18"/>
                <w:szCs w:val="18"/>
                <w:lang w:eastAsia="zh-CN"/>
              </w:rPr>
              <w:t>全局</w:t>
            </w:r>
            <w:r>
              <w:rPr>
                <w:rFonts w:hint="eastAsia"/>
                <w:sz w:val="18"/>
                <w:szCs w:val="18"/>
              </w:rPr>
              <w:t>执法人员</w:t>
            </w:r>
          </w:p>
        </w:tc>
        <w:tc>
          <w:tcPr>
            <w:tcW w:w="1031" w:type="dxa"/>
            <w:vMerge w:val="continue"/>
          </w:tcPr>
          <w:p>
            <w:pPr>
              <w:rPr>
                <w:sz w:val="18"/>
                <w:szCs w:val="18"/>
              </w:rPr>
            </w:pPr>
          </w:p>
        </w:tc>
        <w:tc>
          <w:tcPr>
            <w:tcW w:w="982" w:type="dxa"/>
            <w:vMerge w:val="continue"/>
          </w:tcPr>
          <w:p>
            <w:pPr>
              <w:rPr>
                <w:sz w:val="18"/>
                <w:szCs w:val="18"/>
              </w:rPr>
            </w:pPr>
          </w:p>
        </w:tc>
        <w:tc>
          <w:tcPr>
            <w:tcW w:w="777" w:type="dxa"/>
          </w:tcPr>
          <w:p>
            <w:pPr>
              <w:rPr>
                <w:sz w:val="18"/>
                <w:szCs w:val="18"/>
              </w:rPr>
            </w:pPr>
          </w:p>
          <w:p>
            <w:pPr>
              <w:rPr>
                <w:sz w:val="18"/>
                <w:szCs w:val="18"/>
              </w:rPr>
            </w:pPr>
          </w:p>
          <w:p>
            <w:pPr>
              <w:rPr>
                <w:sz w:val="18"/>
                <w:szCs w:val="18"/>
              </w:rPr>
            </w:pPr>
          </w:p>
          <w:p>
            <w:pPr>
              <w:rPr>
                <w:sz w:val="18"/>
                <w:szCs w:val="18"/>
              </w:rPr>
            </w:pPr>
          </w:p>
          <w:p>
            <w:pPr>
              <w:rPr>
                <w:sz w:val="18"/>
                <w:szCs w:val="18"/>
              </w:rPr>
            </w:pPr>
            <w:r>
              <w:rPr>
                <w:rFonts w:hint="eastAsia"/>
                <w:sz w:val="18"/>
                <w:szCs w:val="18"/>
              </w:rPr>
              <w:t>市场股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jdlOTg0YTgxMzc3ZmMwZjU0YWY0MzA5MzU0N2QifQ=="/>
  </w:docVars>
  <w:rsids>
    <w:rsidRoot w:val="00EC2958"/>
    <w:rsid w:val="00EC2958"/>
    <w:rsid w:val="00EE3477"/>
    <w:rsid w:val="104626B1"/>
    <w:rsid w:val="157601E9"/>
    <w:rsid w:val="1E0F2DBF"/>
    <w:rsid w:val="272B6EBC"/>
    <w:rsid w:val="2894224C"/>
    <w:rsid w:val="31971224"/>
    <w:rsid w:val="402D14B1"/>
    <w:rsid w:val="4A8D3982"/>
    <w:rsid w:val="60775553"/>
    <w:rsid w:val="68F01CFA"/>
    <w:rsid w:val="6F321B31"/>
    <w:rsid w:val="768624B7"/>
    <w:rsid w:val="792847BF"/>
    <w:rsid w:val="7AB17132"/>
    <w:rsid w:val="7AEE13B5"/>
    <w:rsid w:val="7FC7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596</Words>
  <Characters>603</Characters>
  <Lines>1</Lines>
  <Paragraphs>1</Paragraphs>
  <TotalTime>2</TotalTime>
  <ScaleCrop>false</ScaleCrop>
  <LinksUpToDate>false</LinksUpToDate>
  <CharactersWithSpaces>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2023-04-14T07:25:00Z</cp:lastPrinted>
  <dcterms:modified xsi:type="dcterms:W3CDTF">2023-06-02T01:38:47Z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890CD6D16E484559882E07C2532ABD68_13</vt:lpwstr>
  </property>
</Properties>
</file>