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hint="eastAsia" w:ascii="黑体" w:hAnsi="黑体" w:eastAsia="黑体"/>
          <w:sz w:val="32"/>
          <w:szCs w:val="32"/>
        </w:rPr>
        <w:t xml:space="preserve"> </w:t>
      </w:r>
    </w:p>
    <w:p>
      <w:pPr>
        <w:jc w:val="center"/>
        <w:rPr>
          <w:rFonts w:ascii="仿宋" w:hAnsi="仿宋" w:eastAsia="仿宋" w:cs="仿宋"/>
          <w:b/>
          <w:color w:val="000000"/>
          <w:sz w:val="44"/>
          <w:szCs w:val="44"/>
        </w:rPr>
      </w:pPr>
      <w:bookmarkStart w:id="1" w:name="_GoBack"/>
      <w:r>
        <w:rPr>
          <w:rFonts w:hint="eastAsia" w:ascii="黑体" w:hAnsi="黑体" w:eastAsia="黑体"/>
          <w:sz w:val="44"/>
          <w:szCs w:val="44"/>
        </w:rPr>
        <w:t>平顺县</w:t>
      </w:r>
      <w:r>
        <w:rPr>
          <w:rFonts w:hint="eastAsia" w:ascii="仿宋" w:hAnsi="仿宋" w:eastAsia="仿宋" w:cs="仿宋"/>
          <w:b/>
          <w:color w:val="000000"/>
          <w:sz w:val="44"/>
          <w:szCs w:val="44"/>
        </w:rPr>
        <w:t>红十字会</w:t>
      </w:r>
    </w:p>
    <w:p>
      <w:pPr>
        <w:jc w:val="center"/>
        <w:rPr>
          <w:rFonts w:ascii="黑体" w:hAnsi="黑体" w:eastAsia="黑体"/>
          <w:sz w:val="44"/>
          <w:szCs w:val="44"/>
        </w:rPr>
      </w:pPr>
      <w:r>
        <w:rPr>
          <w:rFonts w:hint="eastAsia" w:ascii="黑体" w:hAnsi="黑体" w:eastAsia="黑体"/>
          <w:sz w:val="44"/>
          <w:szCs w:val="44"/>
        </w:rPr>
        <w:t>2018年度部门决算</w:t>
      </w:r>
    </w:p>
    <w:bookmarkEnd w:id="1"/>
    <w:p>
      <w:pPr>
        <w:jc w:val="center"/>
        <w:rPr>
          <w:rFonts w:ascii="仿宋" w:hAnsi="仿宋" w:eastAsia="仿宋"/>
          <w:sz w:val="32"/>
          <w:szCs w:val="32"/>
        </w:rPr>
      </w:pPr>
    </w:p>
    <w:p>
      <w:pPr>
        <w:spacing w:line="360" w:lineRule="auto"/>
        <w:rPr>
          <w:rFonts w:ascii="黑体" w:hAnsi="黑体" w:eastAsia="黑体"/>
          <w:b/>
          <w:sz w:val="30"/>
          <w:szCs w:val="30"/>
        </w:rPr>
      </w:pPr>
      <w:r>
        <w:rPr>
          <w:rFonts w:hint="eastAsia" w:ascii="黑体" w:hAnsi="黑体" w:eastAsia="黑体"/>
          <w:b/>
          <w:sz w:val="30"/>
          <w:szCs w:val="30"/>
        </w:rPr>
        <w:t>第一部分  概况</w:t>
      </w:r>
    </w:p>
    <w:p>
      <w:pPr>
        <w:snapToGrid w:val="0"/>
        <w:spacing w:line="360" w:lineRule="auto"/>
        <w:ind w:firstLine="48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平顺县红十字会概况及主要职责</w:t>
      </w:r>
    </w:p>
    <w:p>
      <w:pPr>
        <w:snapToGrid w:val="0"/>
        <w:spacing w:line="360" w:lineRule="auto"/>
        <w:ind w:firstLine="48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(一)宣传和执行《</w:t>
      </w:r>
      <w:r>
        <w:fldChar w:fldCharType="begin"/>
      </w:r>
      <w:r>
        <w:instrText xml:space="preserve"> HYPERLINK "https://baike.so.com/doc/5470001-5707913.html" \t "https://baike.so.com/doc/_blank" </w:instrText>
      </w:r>
      <w:r>
        <w:fldChar w:fldCharType="separate"/>
      </w:r>
      <w:r>
        <w:rPr>
          <w:rFonts w:hint="eastAsia" w:ascii="仿宋_GB2312" w:hAnsi="仿宋_GB2312" w:eastAsia="仿宋_GB2312" w:cs="仿宋_GB2312"/>
        </w:rPr>
        <w:t>中华人民共和国红十字会法</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 w:val="30"/>
          <w:szCs w:val="30"/>
        </w:rPr>
        <w:t>》和《中华人民共和国红十字标志使用办法》，纠正滥用红十字标志现象。</w:t>
      </w:r>
    </w:p>
    <w:p>
      <w:pPr>
        <w:snapToGrid w:val="0"/>
        <w:spacing w:line="360" w:lineRule="auto"/>
        <w:ind w:firstLine="48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开展救灾的准备工作，建设和管理备灾救灾设施：在自然灾害和突发事件中，开展救护和救助工作：根据自然灾害和突发事件的具体情况，由总会向国内外发出呼吁，依法接受国内外组织和个人的捐赠：县红十字会在全县发出呼吁，依法接受外县红十字会组织和个人的捐赠，及时向灾区群众和受难者提供急需的</w:t>
      </w:r>
      <w:r>
        <w:fldChar w:fldCharType="begin"/>
      </w:r>
      <w:r>
        <w:instrText xml:space="preserve"> HYPERLINK "https://baike.so.com/doc/3930863-4125322.html" \t "https://baike.so.com/doc/_blank" </w:instrText>
      </w:r>
      <w:r>
        <w:fldChar w:fldCharType="separate"/>
      </w:r>
      <w:r>
        <w:rPr>
          <w:rFonts w:hint="eastAsia" w:ascii="仿宋_GB2312" w:hAnsi="仿宋_GB2312" w:eastAsia="仿宋_GB2312" w:cs="仿宋_GB2312"/>
        </w:rPr>
        <w:t>人道主义援助</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 w:val="30"/>
          <w:szCs w:val="30"/>
        </w:rPr>
        <w:t>：</w:t>
      </w:r>
    </w:p>
    <w:p>
      <w:pPr>
        <w:snapToGrid w:val="0"/>
        <w:spacing w:line="360" w:lineRule="auto"/>
        <w:ind w:firstLine="48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(三)开展卫生救护和防病知识的宣传普及：在易发生意外伤害的行业和基层组织开展初级卫生救护培训，组织群众参与意外伤害和自然灾害的现场救护：</w:t>
      </w:r>
    </w:p>
    <w:p>
      <w:pPr>
        <w:snapToGrid w:val="0"/>
        <w:spacing w:line="360" w:lineRule="auto"/>
        <w:ind w:firstLine="48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(四)协助县人民政府开展</w:t>
      </w:r>
      <w:r>
        <w:fldChar w:fldCharType="begin"/>
      </w:r>
      <w:r>
        <w:instrText xml:space="preserve"> HYPERLINK "https://baike.so.com/doc/920903-973377.html" \t "https://baike.so.com/doc/_blank" </w:instrText>
      </w:r>
      <w:r>
        <w:fldChar w:fldCharType="separate"/>
      </w:r>
      <w:r>
        <w:rPr>
          <w:rFonts w:hint="eastAsia" w:ascii="仿宋_GB2312" w:hAnsi="仿宋_GB2312" w:eastAsia="仿宋_GB2312" w:cs="仿宋_GB2312"/>
        </w:rPr>
        <w:t>无偿献血</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 w:val="30"/>
          <w:szCs w:val="30"/>
        </w:rPr>
        <w:t>的宣传推动工作。</w:t>
      </w:r>
    </w:p>
    <w:p>
      <w:pPr>
        <w:snapToGrid w:val="0"/>
        <w:spacing w:line="360" w:lineRule="auto"/>
        <w:ind w:firstLine="48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(五)开展社会服务县</w:t>
      </w:r>
      <w:r>
        <w:fldChar w:fldCharType="begin"/>
      </w:r>
      <w:r>
        <w:instrText xml:space="preserve"> HYPERLINK "https://baike.so.com/doc/5390046-5626665.html" \t "https://baike.so.com/doc/_blank" </w:instrText>
      </w:r>
      <w:r>
        <w:fldChar w:fldCharType="separate"/>
      </w:r>
      <w:r>
        <w:rPr>
          <w:rFonts w:hint="eastAsia" w:ascii="仿宋_GB2312" w:hAnsi="仿宋_GB2312" w:eastAsia="仿宋_GB2312" w:cs="仿宋_GB2312"/>
        </w:rPr>
        <w:t>红十字</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 w:val="30"/>
          <w:szCs w:val="30"/>
        </w:rPr>
        <w:t>服务工作；组织志愿工作者在社区开展社会服务、宣传培训、募捐救助活动；</w:t>
      </w:r>
    </w:p>
    <w:p>
      <w:pPr>
        <w:snapToGrid w:val="0"/>
        <w:spacing w:line="360" w:lineRule="auto"/>
        <w:ind w:firstLine="48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(六)推动体(器官)捐献工作：开展预防控制艾滋病宣传和健康教育、关心爱护</w:t>
      </w:r>
      <w:r>
        <w:fldChar w:fldCharType="begin"/>
      </w:r>
      <w:r>
        <w:instrText xml:space="preserve"> HYPERLINK "https://baike.so.com/doc/5332914-5568282.html" \t "https://baike.so.com/doc/_blank" </w:instrText>
      </w:r>
      <w:r>
        <w:fldChar w:fldCharType="separate"/>
      </w:r>
      <w:r>
        <w:rPr>
          <w:rFonts w:hint="eastAsia" w:ascii="仿宋_GB2312" w:hAnsi="仿宋_GB2312" w:eastAsia="仿宋_GB2312" w:cs="仿宋_GB2312"/>
        </w:rPr>
        <w:t>艾滋病</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 w:val="30"/>
          <w:szCs w:val="30"/>
        </w:rPr>
        <w:t>病毒感染者、患者及其他救助工作；开展其他人道救助工作；</w:t>
      </w:r>
    </w:p>
    <w:p>
      <w:pPr>
        <w:snapToGrid w:val="0"/>
        <w:spacing w:line="360" w:lineRule="auto"/>
        <w:ind w:firstLine="48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(七)开展有益于青少年身心健康的红十字青少年活动；</w:t>
      </w:r>
    </w:p>
    <w:p>
      <w:pPr>
        <w:snapToGrid w:val="0"/>
        <w:spacing w:line="360" w:lineRule="auto"/>
        <w:ind w:firstLine="48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(八)宣传</w:t>
      </w:r>
      <w:r>
        <w:fldChar w:fldCharType="begin"/>
      </w:r>
      <w:r>
        <w:instrText xml:space="preserve"> HYPERLINK "https://baike.so.com/doc/5401999-5639685.html" \t "https://baike.so.com/doc/_blank" </w:instrText>
      </w:r>
      <w:r>
        <w:fldChar w:fldCharType="separate"/>
      </w:r>
      <w:r>
        <w:rPr>
          <w:rFonts w:hint="eastAsia" w:ascii="仿宋_GB2312" w:hAnsi="仿宋_GB2312" w:eastAsia="仿宋_GB2312" w:cs="仿宋_GB2312"/>
        </w:rPr>
        <w:t>日内瓦公约</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 w:val="30"/>
          <w:szCs w:val="30"/>
        </w:rPr>
        <w:t>及其附加议定书、红十字与红新月运动七项基本原则；</w:t>
      </w:r>
    </w:p>
    <w:p>
      <w:pPr>
        <w:snapToGrid w:val="0"/>
        <w:spacing w:line="360" w:lineRule="auto"/>
        <w:ind w:firstLine="48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(九)建设和管理中国</w:t>
      </w:r>
      <w:r>
        <w:fldChar w:fldCharType="begin"/>
      </w:r>
      <w:r>
        <w:instrText xml:space="preserve"> HYPERLINK "https://baike.so.com/doc/921655-974133.html" \t "https://baike.so.com/doc/_blank" </w:instrText>
      </w:r>
      <w:r>
        <w:fldChar w:fldCharType="separate"/>
      </w:r>
      <w:r>
        <w:rPr>
          <w:rFonts w:hint="eastAsia" w:ascii="仿宋_GB2312" w:hAnsi="仿宋_GB2312" w:eastAsia="仿宋_GB2312" w:cs="仿宋_GB2312"/>
        </w:rPr>
        <w:t>造血干细胞</w:t>
      </w:r>
      <w:r>
        <w:rPr>
          <w:rFonts w:hint="eastAsia" w:ascii="仿宋_GB2312" w:hAnsi="仿宋_GB2312" w:eastAsia="仿宋_GB2312" w:cs="仿宋_GB2312"/>
        </w:rPr>
        <w:fldChar w:fldCharType="end"/>
      </w:r>
      <w:r>
        <w:rPr>
          <w:rFonts w:hint="eastAsia" w:ascii="仿宋_GB2312" w:hAnsi="仿宋_GB2312" w:eastAsia="仿宋_GB2312" w:cs="仿宋_GB2312"/>
          <w:color w:val="000000"/>
          <w:sz w:val="30"/>
          <w:szCs w:val="30"/>
        </w:rPr>
        <w:t>捐献者资料库；开展捐献造血干细胞的宣传动员、组织工作；</w:t>
      </w:r>
    </w:p>
    <w:p>
      <w:pPr>
        <w:snapToGrid w:val="0"/>
        <w:spacing w:line="360" w:lineRule="auto"/>
        <w:ind w:firstLine="48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(十)依法开展募捐活动；在公共场所设置红十字募捐箱并进行管理；依照法律法规自主处分募捐款物；</w:t>
      </w:r>
    </w:p>
    <w:p>
      <w:pPr>
        <w:snapToGrid w:val="0"/>
        <w:spacing w:line="360" w:lineRule="auto"/>
        <w:ind w:firstLine="48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(十一)兴办符合红十字会宗旨的社会福利事业；</w:t>
      </w:r>
    </w:p>
    <w:p>
      <w:pPr>
        <w:snapToGrid w:val="0"/>
        <w:spacing w:line="360" w:lineRule="auto"/>
        <w:ind w:firstLine="48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(十二)参加国际人道主义救援工作；</w:t>
      </w:r>
    </w:p>
    <w:p>
      <w:pPr>
        <w:snapToGrid w:val="0"/>
        <w:spacing w:line="360" w:lineRule="auto"/>
        <w:ind w:firstLine="48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(十三)完成人民政府委托事宜。</w:t>
      </w:r>
    </w:p>
    <w:p>
      <w:pPr>
        <w:spacing w:line="360" w:lineRule="auto"/>
        <w:rPr>
          <w:rFonts w:ascii="黑体" w:hAnsi="黑体" w:eastAsia="黑体"/>
          <w:b/>
          <w:sz w:val="30"/>
          <w:szCs w:val="30"/>
        </w:rPr>
      </w:pPr>
      <w:r>
        <w:rPr>
          <w:rFonts w:hint="eastAsia" w:ascii="黑体" w:hAnsi="黑体" w:eastAsia="黑体"/>
          <w:b/>
          <w:sz w:val="30"/>
          <w:szCs w:val="30"/>
        </w:rPr>
        <w:t>第二部分  2018年度部门预算报表</w:t>
      </w:r>
    </w:p>
    <w:p>
      <w:pPr>
        <w:spacing w:line="360" w:lineRule="auto"/>
        <w:ind w:left="480"/>
        <w:rPr>
          <w:rFonts w:ascii="仿宋_GB2312" w:eastAsia="仿宋_GB2312"/>
          <w:sz w:val="30"/>
          <w:szCs w:val="30"/>
        </w:rPr>
      </w:pPr>
      <w:r>
        <w:rPr>
          <w:rFonts w:hint="eastAsia" w:ascii="仿宋_GB2312" w:eastAsia="仿宋_GB2312"/>
          <w:sz w:val="30"/>
          <w:szCs w:val="30"/>
        </w:rPr>
        <w:t>一、部门2018年收入支出决算表</w:t>
      </w:r>
    </w:p>
    <w:p>
      <w:pPr>
        <w:spacing w:line="360" w:lineRule="auto"/>
        <w:ind w:left="480"/>
        <w:rPr>
          <w:rFonts w:ascii="仿宋_GB2312" w:eastAsia="仿宋_GB2312"/>
          <w:sz w:val="30"/>
          <w:szCs w:val="30"/>
        </w:rPr>
      </w:pPr>
      <w:r>
        <w:rPr>
          <w:rFonts w:hint="eastAsia" w:ascii="仿宋_GB2312" w:eastAsia="仿宋_GB2312"/>
          <w:sz w:val="30"/>
          <w:szCs w:val="30"/>
        </w:rPr>
        <w:t>二、部门2018年收入决算表</w:t>
      </w:r>
    </w:p>
    <w:p>
      <w:pPr>
        <w:spacing w:line="360" w:lineRule="auto"/>
        <w:ind w:left="480"/>
        <w:rPr>
          <w:rFonts w:ascii="仿宋_GB2312" w:eastAsia="仿宋_GB2312"/>
          <w:sz w:val="30"/>
          <w:szCs w:val="30"/>
        </w:rPr>
      </w:pPr>
      <w:r>
        <w:rPr>
          <w:rFonts w:hint="eastAsia" w:ascii="仿宋_GB2312" w:eastAsia="仿宋_GB2312"/>
          <w:sz w:val="30"/>
          <w:szCs w:val="30"/>
        </w:rPr>
        <w:t>三、部门2018年支出决算表</w:t>
      </w:r>
    </w:p>
    <w:p>
      <w:pPr>
        <w:spacing w:line="360" w:lineRule="auto"/>
        <w:ind w:left="480"/>
        <w:rPr>
          <w:rFonts w:ascii="仿宋_GB2312" w:eastAsia="仿宋_GB2312"/>
          <w:sz w:val="30"/>
          <w:szCs w:val="30"/>
        </w:rPr>
      </w:pPr>
      <w:r>
        <w:rPr>
          <w:rFonts w:hint="eastAsia" w:ascii="仿宋_GB2312" w:eastAsia="仿宋_GB2312"/>
          <w:sz w:val="30"/>
          <w:szCs w:val="30"/>
        </w:rPr>
        <w:t>四、部门2018年财政拨款收入支出决算总表</w:t>
      </w:r>
    </w:p>
    <w:p>
      <w:pPr>
        <w:spacing w:line="360" w:lineRule="auto"/>
        <w:ind w:left="480"/>
        <w:rPr>
          <w:rFonts w:ascii="仿宋_GB2312" w:eastAsia="仿宋_GB2312"/>
          <w:sz w:val="30"/>
          <w:szCs w:val="30"/>
        </w:rPr>
      </w:pPr>
      <w:r>
        <w:rPr>
          <w:rFonts w:hint="eastAsia" w:ascii="仿宋_GB2312" w:eastAsia="仿宋_GB2312"/>
          <w:sz w:val="30"/>
          <w:szCs w:val="30"/>
        </w:rPr>
        <w:t>五、部门2018年一般公共拨款收入支出决算表</w:t>
      </w:r>
    </w:p>
    <w:p>
      <w:pPr>
        <w:spacing w:line="360" w:lineRule="auto"/>
        <w:ind w:left="480"/>
        <w:rPr>
          <w:rFonts w:ascii="仿宋_GB2312" w:eastAsia="仿宋_GB2312"/>
          <w:sz w:val="30"/>
          <w:szCs w:val="30"/>
        </w:rPr>
      </w:pPr>
      <w:r>
        <w:rPr>
          <w:rFonts w:hint="eastAsia" w:ascii="仿宋_GB2312" w:eastAsia="仿宋_GB2312"/>
          <w:sz w:val="30"/>
          <w:szCs w:val="30"/>
        </w:rPr>
        <w:t>六、部门2018年一般公共拨款“三公”经费支出决算表</w:t>
      </w:r>
    </w:p>
    <w:p>
      <w:pPr>
        <w:spacing w:line="360" w:lineRule="auto"/>
        <w:ind w:left="480"/>
        <w:rPr>
          <w:rFonts w:ascii="仿宋_GB2312" w:eastAsia="仿宋_GB2312"/>
          <w:sz w:val="30"/>
          <w:szCs w:val="30"/>
        </w:rPr>
      </w:pPr>
      <w:r>
        <w:rPr>
          <w:rFonts w:hint="eastAsia" w:ascii="仿宋_GB2312" w:eastAsia="仿宋_GB2312"/>
          <w:sz w:val="30"/>
          <w:szCs w:val="30"/>
        </w:rPr>
        <w:t>七、部门2018年政府性基金预算财政性收入支出决算表</w:t>
      </w:r>
    </w:p>
    <w:p>
      <w:pPr>
        <w:spacing w:line="360" w:lineRule="auto"/>
        <w:ind w:left="480"/>
        <w:rPr>
          <w:rFonts w:ascii="仿宋_GB2312" w:eastAsia="仿宋_GB2312"/>
          <w:sz w:val="30"/>
          <w:szCs w:val="30"/>
        </w:rPr>
      </w:pPr>
      <w:r>
        <w:rPr>
          <w:rFonts w:hint="eastAsia" w:ascii="仿宋_GB2312" w:eastAsia="仿宋_GB2312"/>
          <w:sz w:val="30"/>
          <w:szCs w:val="30"/>
        </w:rPr>
        <w:t>八、部门决算公开相关信息统计表</w:t>
      </w:r>
    </w:p>
    <w:p>
      <w:pPr>
        <w:spacing w:line="360" w:lineRule="auto"/>
        <w:rPr>
          <w:rFonts w:ascii="黑体" w:hAnsi="黑体" w:eastAsia="黑体"/>
          <w:sz w:val="30"/>
          <w:szCs w:val="30"/>
        </w:rPr>
      </w:pPr>
    </w:p>
    <w:p>
      <w:pPr>
        <w:spacing w:line="360" w:lineRule="auto"/>
        <w:rPr>
          <w:rFonts w:ascii="黑体" w:hAnsi="黑体" w:eastAsia="黑体"/>
          <w:b/>
          <w:sz w:val="30"/>
          <w:szCs w:val="30"/>
        </w:rPr>
      </w:pPr>
      <w:r>
        <w:rPr>
          <w:rFonts w:hint="eastAsia" w:ascii="黑体" w:hAnsi="黑体" w:eastAsia="黑体"/>
          <w:b/>
          <w:sz w:val="30"/>
          <w:szCs w:val="30"/>
        </w:rPr>
        <w:t>第三部分  2018年度部门决算情况说明</w:t>
      </w:r>
    </w:p>
    <w:p>
      <w:pPr>
        <w:spacing w:line="360" w:lineRule="auto"/>
        <w:ind w:firstLine="636"/>
        <w:rPr>
          <w:rFonts w:ascii="黑体" w:hAnsi="黑体" w:eastAsia="黑体" w:cs="黑体"/>
          <w:b/>
          <w:bCs/>
          <w:sz w:val="30"/>
          <w:szCs w:val="30"/>
        </w:rPr>
      </w:pPr>
      <w:r>
        <w:rPr>
          <w:rFonts w:hint="eastAsia" w:ascii="黑体" w:hAnsi="黑体" w:eastAsia="黑体" w:cs="黑体"/>
          <w:b/>
          <w:bCs/>
          <w:sz w:val="30"/>
          <w:szCs w:val="30"/>
        </w:rPr>
        <w:t>一、2018年度部门预算数据变动情况及原因</w:t>
      </w:r>
    </w:p>
    <w:p>
      <w:pPr>
        <w:snapToGrid w:val="0"/>
        <w:spacing w:line="360" w:lineRule="auto"/>
        <w:ind w:firstLine="602" w:firstLineChars="200"/>
        <w:rPr>
          <w:rFonts w:ascii="楷体_GB2312" w:hAnsi="仿宋" w:eastAsia="楷体_GB2312"/>
          <w:b/>
          <w:sz w:val="30"/>
          <w:szCs w:val="30"/>
        </w:rPr>
      </w:pPr>
      <w:r>
        <w:rPr>
          <w:rFonts w:hint="eastAsia" w:ascii="楷体_GB2312" w:hAnsi="仿宋" w:eastAsia="楷体_GB2312"/>
          <w:b/>
          <w:sz w:val="30"/>
          <w:szCs w:val="30"/>
        </w:rPr>
        <w:t>（一）收入支出预算安排情况。</w:t>
      </w:r>
    </w:p>
    <w:p>
      <w:pPr>
        <w:snapToGrid w:val="0"/>
        <w:spacing w:line="360" w:lineRule="auto"/>
        <w:ind w:firstLine="480"/>
        <w:rPr>
          <w:rFonts w:ascii="仿宋_GB2312" w:hAnsi="仿宋" w:eastAsia="仿宋_GB2312"/>
          <w:sz w:val="30"/>
          <w:szCs w:val="30"/>
        </w:rPr>
      </w:pPr>
      <w:r>
        <w:rPr>
          <w:rFonts w:hint="eastAsia" w:ascii="仿宋_GB2312" w:hAnsi="仿宋" w:eastAsia="仿宋_GB2312"/>
          <w:sz w:val="30"/>
          <w:szCs w:val="30"/>
        </w:rPr>
        <w:t>本年度预算安排22.3046万元，上年度预算20.0946万元，比上年度增加10.998%，增加原因：本年度职工工资调整，并补发上年度应发工资。本年度调整了预算</w:t>
      </w:r>
      <w:r>
        <w:rPr>
          <w:rFonts w:ascii="仿宋_GB2312" w:hAnsi="仿宋" w:eastAsia="仿宋_GB2312"/>
          <w:sz w:val="30"/>
          <w:szCs w:val="30"/>
        </w:rPr>
        <w:t>25.323076</w:t>
      </w:r>
      <w:r>
        <w:rPr>
          <w:rFonts w:hint="eastAsia" w:ascii="仿宋_GB2312" w:hAnsi="仿宋" w:eastAsia="仿宋_GB2312"/>
          <w:sz w:val="30"/>
          <w:szCs w:val="30"/>
        </w:rPr>
        <w:t>万元，调整原因：本年度在职职工工资增加并补发了上年度应发工资；单位经费来源</w:t>
      </w:r>
      <w:r>
        <w:rPr>
          <w:rFonts w:hint="eastAsia" w:ascii="仿宋_GB2312" w:hAnsi="仿宋_GB2312" w:eastAsia="仿宋_GB2312" w:cs="仿宋_GB2312"/>
          <w:sz w:val="30"/>
          <w:szCs w:val="30"/>
        </w:rPr>
        <w:t>:</w:t>
      </w:r>
      <w:r>
        <w:rPr>
          <w:rFonts w:hint="eastAsia" w:ascii="仿宋_GB2312" w:hAnsi="仿宋" w:eastAsia="仿宋_GB2312"/>
          <w:sz w:val="30"/>
          <w:szCs w:val="30"/>
        </w:rPr>
        <w:t>向县财政申请拨付。</w:t>
      </w:r>
    </w:p>
    <w:p>
      <w:pPr>
        <w:snapToGrid w:val="0"/>
        <w:spacing w:line="360" w:lineRule="auto"/>
        <w:ind w:firstLine="602" w:firstLineChars="200"/>
        <w:rPr>
          <w:rFonts w:ascii="楷体_GB2312" w:hAnsi="仿宋" w:eastAsia="楷体_GB2312"/>
          <w:b/>
          <w:sz w:val="30"/>
          <w:szCs w:val="30"/>
        </w:rPr>
      </w:pPr>
      <w:r>
        <w:rPr>
          <w:rFonts w:hint="eastAsia" w:ascii="楷体_GB2312" w:hAnsi="仿宋" w:eastAsia="楷体_GB2312"/>
          <w:b/>
          <w:sz w:val="30"/>
          <w:szCs w:val="30"/>
        </w:rPr>
        <w:t>（二）收入支出预算执行情况。</w:t>
      </w:r>
    </w:p>
    <w:p>
      <w:pPr>
        <w:snapToGrid w:val="0"/>
        <w:spacing w:line="360" w:lineRule="auto"/>
        <w:ind w:firstLine="602" w:firstLineChars="200"/>
        <w:rPr>
          <w:rFonts w:ascii="仿宋_GB2312" w:hAnsi="仿宋" w:eastAsia="仿宋_GB2312"/>
          <w:b/>
          <w:sz w:val="30"/>
          <w:szCs w:val="30"/>
        </w:rPr>
      </w:pPr>
      <w:r>
        <w:rPr>
          <w:rFonts w:hint="eastAsia" w:ascii="仿宋_GB2312" w:hAnsi="仿宋" w:eastAsia="仿宋_GB2312"/>
          <w:b/>
          <w:sz w:val="30"/>
          <w:szCs w:val="30"/>
        </w:rPr>
        <w:t>1．收入支出与预算对比分析。</w:t>
      </w:r>
    </w:p>
    <w:p>
      <w:pPr>
        <w:snapToGrid w:val="0"/>
        <w:spacing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（1）本年度收入对比</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6"/>
        <w:gridCol w:w="1530"/>
        <w:gridCol w:w="1590"/>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tcPr>
          <w:p>
            <w:pPr>
              <w:snapToGrid w:val="0"/>
              <w:spacing w:line="360" w:lineRule="auto"/>
              <w:rPr>
                <w:rFonts w:ascii="仿宋_GB2312" w:hAnsi="仿宋" w:eastAsia="仿宋_GB2312"/>
                <w:sz w:val="24"/>
              </w:rPr>
            </w:pPr>
            <w:r>
              <w:rPr>
                <w:rFonts w:hint="eastAsia" w:ascii="仿宋_GB2312" w:hAnsi="仿宋" w:eastAsia="仿宋_GB2312"/>
                <w:sz w:val="24"/>
              </w:rPr>
              <w:t>科  目</w:t>
            </w:r>
          </w:p>
        </w:tc>
        <w:tc>
          <w:tcPr>
            <w:tcW w:w="1530" w:type="dxa"/>
          </w:tcPr>
          <w:p>
            <w:pPr>
              <w:snapToGrid w:val="0"/>
              <w:spacing w:line="360" w:lineRule="auto"/>
              <w:rPr>
                <w:rFonts w:ascii="仿宋_GB2312" w:hAnsi="仿宋" w:eastAsia="仿宋_GB2312"/>
                <w:sz w:val="24"/>
              </w:rPr>
            </w:pPr>
            <w:r>
              <w:rPr>
                <w:rFonts w:hint="eastAsia" w:ascii="仿宋_GB2312" w:hAnsi="仿宋" w:eastAsia="仿宋_GB2312"/>
                <w:sz w:val="24"/>
              </w:rPr>
              <w:t>预  算</w:t>
            </w:r>
          </w:p>
        </w:tc>
        <w:tc>
          <w:tcPr>
            <w:tcW w:w="1590" w:type="dxa"/>
          </w:tcPr>
          <w:p>
            <w:pPr>
              <w:snapToGrid w:val="0"/>
              <w:spacing w:line="360" w:lineRule="auto"/>
              <w:rPr>
                <w:rFonts w:ascii="仿宋_GB2312" w:hAnsi="仿宋" w:eastAsia="仿宋_GB2312"/>
                <w:sz w:val="24"/>
              </w:rPr>
            </w:pPr>
            <w:r>
              <w:rPr>
                <w:rFonts w:hint="eastAsia" w:ascii="仿宋_GB2312" w:hAnsi="仿宋" w:eastAsia="仿宋_GB2312"/>
                <w:sz w:val="24"/>
              </w:rPr>
              <w:t>决  算</w:t>
            </w:r>
          </w:p>
        </w:tc>
        <w:tc>
          <w:tcPr>
            <w:tcW w:w="2446" w:type="dxa"/>
          </w:tcPr>
          <w:p>
            <w:pPr>
              <w:snapToGrid w:val="0"/>
              <w:spacing w:line="360" w:lineRule="auto"/>
              <w:jc w:val="center"/>
              <w:rPr>
                <w:rFonts w:ascii="仿宋_GB2312" w:hAnsi="仿宋" w:eastAsia="仿宋_GB2312"/>
                <w:sz w:val="24"/>
              </w:rPr>
            </w:pPr>
            <w:r>
              <w:rPr>
                <w:rFonts w:hint="eastAsia" w:ascii="仿宋_GB2312" w:hAnsi="仿宋" w:eastAsia="仿宋_GB2312"/>
                <w:sz w:val="24"/>
              </w:rPr>
              <w:t>原   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tcPr>
          <w:p>
            <w:pPr>
              <w:snapToGrid w:val="0"/>
              <w:spacing w:line="360" w:lineRule="auto"/>
              <w:rPr>
                <w:rFonts w:ascii="仿宋_GB2312" w:hAnsi="仿宋" w:eastAsia="仿宋_GB2312"/>
                <w:sz w:val="24"/>
              </w:rPr>
            </w:pPr>
            <w:r>
              <w:rPr>
                <w:rFonts w:hint="eastAsia" w:ascii="仿宋_GB2312" w:hAnsi="仿宋" w:eastAsia="仿宋_GB2312"/>
                <w:sz w:val="24"/>
              </w:rPr>
              <w:t>财政拨款收入</w:t>
            </w:r>
          </w:p>
        </w:tc>
        <w:tc>
          <w:tcPr>
            <w:tcW w:w="1530" w:type="dxa"/>
            <w:vAlign w:val="center"/>
          </w:tcPr>
          <w:p>
            <w:pPr>
              <w:widowControl/>
              <w:spacing w:line="360" w:lineRule="auto"/>
              <w:jc w:val="right"/>
              <w:textAlignment w:val="center"/>
              <w:rPr>
                <w:rFonts w:ascii="仿宋_GB2312" w:hAnsi="仿宋" w:eastAsia="仿宋_GB2312"/>
                <w:sz w:val="24"/>
              </w:rPr>
            </w:pPr>
            <w:r>
              <w:rPr>
                <w:rFonts w:hint="eastAsia" w:ascii="宋体" w:hAnsi="宋体" w:cs="宋体"/>
                <w:color w:val="000000"/>
                <w:kern w:val="0"/>
                <w:sz w:val="24"/>
              </w:rPr>
              <w:t>223，046.00</w:t>
            </w:r>
          </w:p>
        </w:tc>
        <w:tc>
          <w:tcPr>
            <w:tcW w:w="1590" w:type="dxa"/>
            <w:vAlign w:val="center"/>
          </w:tcPr>
          <w:p>
            <w:pPr>
              <w:widowControl/>
              <w:spacing w:line="360" w:lineRule="auto"/>
              <w:jc w:val="right"/>
              <w:textAlignment w:val="center"/>
              <w:rPr>
                <w:rFonts w:ascii="仿宋_GB2312" w:hAnsi="仿宋" w:eastAsia="仿宋_GB2312"/>
                <w:sz w:val="24"/>
              </w:rPr>
            </w:pPr>
            <w:r>
              <w:rPr>
                <w:rFonts w:hint="eastAsia" w:ascii="宋体" w:hAnsi="宋体" w:eastAsia="仿宋_GB2312" w:cs="宋体"/>
                <w:color w:val="000000"/>
                <w:kern w:val="0"/>
                <w:sz w:val="24"/>
              </w:rPr>
              <w:t>253,230.76</w:t>
            </w:r>
          </w:p>
        </w:tc>
        <w:tc>
          <w:tcPr>
            <w:tcW w:w="2446" w:type="dxa"/>
          </w:tcPr>
          <w:p>
            <w:pPr>
              <w:snapToGrid w:val="0"/>
              <w:spacing w:line="360" w:lineRule="auto"/>
              <w:rPr>
                <w:rFonts w:ascii="仿宋_GB2312" w:hAnsi="仿宋" w:eastAsia="仿宋_GB2312"/>
                <w:sz w:val="24"/>
              </w:rPr>
            </w:pPr>
            <w:r>
              <w:rPr>
                <w:rFonts w:hint="eastAsia" w:ascii="仿宋_GB2312" w:hAnsi="仿宋" w:eastAsia="仿宋_GB2312"/>
                <w:sz w:val="24"/>
              </w:rPr>
              <w:t>工资调整增加，业务增加，预算调整增加</w:t>
            </w:r>
          </w:p>
        </w:tc>
      </w:tr>
    </w:tbl>
    <w:p>
      <w:pPr>
        <w:numPr>
          <w:ilvl w:val="0"/>
          <w:numId w:val="1"/>
        </w:numPr>
        <w:snapToGrid w:val="0"/>
        <w:spacing w:line="360" w:lineRule="auto"/>
        <w:ind w:firstLine="480"/>
        <w:rPr>
          <w:rFonts w:ascii="仿宋_GB2312" w:hAnsi="仿宋" w:eastAsia="仿宋_GB2312"/>
          <w:sz w:val="30"/>
          <w:szCs w:val="30"/>
        </w:rPr>
      </w:pPr>
      <w:r>
        <w:rPr>
          <w:rFonts w:hint="eastAsia" w:ascii="仿宋_GB2312" w:hAnsi="仿宋" w:eastAsia="仿宋_GB2312"/>
          <w:sz w:val="30"/>
          <w:szCs w:val="30"/>
        </w:rPr>
        <w:t>本年度支出对比。</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6"/>
        <w:gridCol w:w="1530"/>
        <w:gridCol w:w="1590"/>
        <w:gridCol w:w="2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tcPr>
          <w:p>
            <w:pPr>
              <w:snapToGrid w:val="0"/>
              <w:spacing w:line="360" w:lineRule="auto"/>
              <w:rPr>
                <w:rFonts w:ascii="仿宋_GB2312" w:hAnsi="仿宋" w:eastAsia="仿宋_GB2312"/>
                <w:sz w:val="24"/>
              </w:rPr>
            </w:pPr>
            <w:r>
              <w:rPr>
                <w:rFonts w:hint="eastAsia" w:ascii="仿宋_GB2312" w:hAnsi="仿宋" w:eastAsia="仿宋_GB2312"/>
                <w:sz w:val="24"/>
              </w:rPr>
              <w:t>科  目</w:t>
            </w:r>
          </w:p>
        </w:tc>
        <w:tc>
          <w:tcPr>
            <w:tcW w:w="1530" w:type="dxa"/>
          </w:tcPr>
          <w:p>
            <w:pPr>
              <w:snapToGrid w:val="0"/>
              <w:spacing w:line="360" w:lineRule="auto"/>
              <w:rPr>
                <w:rFonts w:ascii="仿宋_GB2312" w:hAnsi="仿宋" w:eastAsia="仿宋_GB2312"/>
                <w:sz w:val="24"/>
              </w:rPr>
            </w:pPr>
            <w:r>
              <w:rPr>
                <w:rFonts w:hint="eastAsia" w:ascii="仿宋_GB2312" w:hAnsi="仿宋" w:eastAsia="仿宋_GB2312"/>
                <w:sz w:val="24"/>
              </w:rPr>
              <w:t>预  算</w:t>
            </w:r>
          </w:p>
        </w:tc>
        <w:tc>
          <w:tcPr>
            <w:tcW w:w="1590" w:type="dxa"/>
          </w:tcPr>
          <w:p>
            <w:pPr>
              <w:snapToGrid w:val="0"/>
              <w:spacing w:line="360" w:lineRule="auto"/>
              <w:rPr>
                <w:rFonts w:ascii="仿宋_GB2312" w:hAnsi="仿宋" w:eastAsia="仿宋_GB2312"/>
                <w:sz w:val="24"/>
              </w:rPr>
            </w:pPr>
            <w:r>
              <w:rPr>
                <w:rFonts w:hint="eastAsia" w:ascii="仿宋_GB2312" w:hAnsi="仿宋" w:eastAsia="仿宋_GB2312"/>
                <w:sz w:val="24"/>
              </w:rPr>
              <w:t>决  算</w:t>
            </w:r>
          </w:p>
        </w:tc>
        <w:tc>
          <w:tcPr>
            <w:tcW w:w="2446" w:type="dxa"/>
          </w:tcPr>
          <w:p>
            <w:pPr>
              <w:snapToGrid w:val="0"/>
              <w:spacing w:line="360" w:lineRule="auto"/>
              <w:jc w:val="center"/>
              <w:rPr>
                <w:rFonts w:ascii="仿宋_GB2312" w:hAnsi="仿宋" w:eastAsia="仿宋_GB2312"/>
                <w:sz w:val="24"/>
              </w:rPr>
            </w:pPr>
            <w:r>
              <w:rPr>
                <w:rFonts w:hint="eastAsia" w:ascii="仿宋_GB2312" w:hAnsi="仿宋" w:eastAsia="仿宋_GB2312"/>
                <w:sz w:val="24"/>
              </w:rPr>
              <w:t>原   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tcPr>
          <w:p>
            <w:pPr>
              <w:snapToGrid w:val="0"/>
              <w:spacing w:line="360" w:lineRule="auto"/>
              <w:rPr>
                <w:rFonts w:ascii="仿宋_GB2312" w:hAnsi="仿宋" w:eastAsia="仿宋_GB2312"/>
                <w:sz w:val="24"/>
              </w:rPr>
            </w:pPr>
            <w:r>
              <w:rPr>
                <w:rFonts w:hint="eastAsia" w:ascii="仿宋_GB2312" w:hAnsi="仿宋" w:eastAsia="仿宋_GB2312"/>
                <w:sz w:val="24"/>
              </w:rPr>
              <w:t>基本支出</w:t>
            </w:r>
          </w:p>
        </w:tc>
        <w:tc>
          <w:tcPr>
            <w:tcW w:w="1530" w:type="dxa"/>
            <w:vAlign w:val="center"/>
          </w:tcPr>
          <w:p>
            <w:pPr>
              <w:widowControl/>
              <w:spacing w:line="360" w:lineRule="auto"/>
              <w:jc w:val="center"/>
              <w:textAlignment w:val="center"/>
              <w:rPr>
                <w:rFonts w:ascii="仿宋_GB2312" w:hAnsi="仿宋" w:eastAsia="仿宋_GB2312"/>
                <w:sz w:val="24"/>
              </w:rPr>
            </w:pPr>
            <w:r>
              <w:rPr>
                <w:rFonts w:ascii="宋体" w:hAnsi="宋体" w:cs="宋体"/>
                <w:color w:val="000000"/>
                <w:kern w:val="0"/>
                <w:sz w:val="24"/>
              </w:rPr>
              <w:t>223</w:t>
            </w:r>
            <w:r>
              <w:rPr>
                <w:rFonts w:hint="eastAsia" w:ascii="宋体" w:hAnsi="宋体" w:cs="宋体"/>
                <w:color w:val="000000"/>
                <w:kern w:val="0"/>
                <w:sz w:val="24"/>
              </w:rPr>
              <w:t>，</w:t>
            </w:r>
            <w:r>
              <w:rPr>
                <w:rFonts w:ascii="宋体" w:hAnsi="宋体" w:cs="宋体"/>
                <w:color w:val="000000"/>
                <w:kern w:val="0"/>
                <w:sz w:val="24"/>
              </w:rPr>
              <w:t>046.</w:t>
            </w:r>
            <w:r>
              <w:rPr>
                <w:rFonts w:hint="eastAsia" w:ascii="宋体" w:hAnsi="宋体" w:cs="宋体"/>
                <w:color w:val="000000"/>
                <w:kern w:val="0"/>
                <w:sz w:val="24"/>
              </w:rPr>
              <w:t>00</w:t>
            </w:r>
          </w:p>
        </w:tc>
        <w:tc>
          <w:tcPr>
            <w:tcW w:w="1590" w:type="dxa"/>
            <w:vAlign w:val="center"/>
          </w:tcPr>
          <w:p>
            <w:pPr>
              <w:widowControl/>
              <w:spacing w:line="360" w:lineRule="auto"/>
              <w:jc w:val="center"/>
              <w:textAlignment w:val="center"/>
              <w:rPr>
                <w:rFonts w:ascii="仿宋_GB2312" w:hAnsi="仿宋" w:eastAsia="仿宋_GB2312"/>
                <w:sz w:val="24"/>
              </w:rPr>
            </w:pPr>
            <w:r>
              <w:rPr>
                <w:rFonts w:ascii="宋体" w:hAnsi="宋体" w:cs="宋体"/>
                <w:color w:val="000000"/>
                <w:kern w:val="0"/>
                <w:sz w:val="24"/>
              </w:rPr>
              <w:t>239</w:t>
            </w:r>
            <w:r>
              <w:rPr>
                <w:rFonts w:hint="eastAsia" w:ascii="宋体" w:hAnsi="宋体" w:cs="宋体"/>
                <w:color w:val="000000"/>
                <w:kern w:val="0"/>
                <w:sz w:val="24"/>
              </w:rPr>
              <w:t>，</w:t>
            </w:r>
            <w:r>
              <w:rPr>
                <w:rFonts w:ascii="宋体" w:hAnsi="宋体" w:cs="宋体"/>
                <w:color w:val="000000"/>
                <w:kern w:val="0"/>
                <w:sz w:val="24"/>
              </w:rPr>
              <w:t>058.56</w:t>
            </w:r>
          </w:p>
        </w:tc>
        <w:tc>
          <w:tcPr>
            <w:tcW w:w="2446" w:type="dxa"/>
          </w:tcPr>
          <w:p>
            <w:pPr>
              <w:snapToGrid w:val="0"/>
              <w:spacing w:line="360" w:lineRule="auto"/>
              <w:rPr>
                <w:rFonts w:ascii="仿宋_GB2312" w:hAnsi="仿宋" w:eastAsia="仿宋_GB2312"/>
                <w:sz w:val="24"/>
              </w:rPr>
            </w:pPr>
            <w:r>
              <w:rPr>
                <w:rFonts w:hint="eastAsia" w:ascii="仿宋_GB2312" w:hAnsi="仿宋" w:eastAsia="仿宋_GB2312"/>
                <w:sz w:val="24"/>
              </w:rPr>
              <w:t>工资调整增加，决算增加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tcPr>
          <w:p>
            <w:pPr>
              <w:snapToGrid w:val="0"/>
              <w:spacing w:line="360" w:lineRule="auto"/>
              <w:rPr>
                <w:rFonts w:ascii="仿宋_GB2312" w:hAnsi="仿宋" w:eastAsia="仿宋_GB2312"/>
                <w:sz w:val="24"/>
              </w:rPr>
            </w:pPr>
            <w:r>
              <w:rPr>
                <w:rFonts w:hint="eastAsia"/>
                <w:sz w:val="24"/>
              </w:rPr>
              <w:t>社会保障和就业支出</w:t>
            </w:r>
          </w:p>
        </w:tc>
        <w:tc>
          <w:tcPr>
            <w:tcW w:w="1530" w:type="dxa"/>
            <w:vAlign w:val="center"/>
          </w:tcPr>
          <w:p>
            <w:pPr>
              <w:widowControl/>
              <w:spacing w:line="360" w:lineRule="auto"/>
              <w:jc w:val="center"/>
              <w:textAlignment w:val="center"/>
              <w:rPr>
                <w:rFonts w:ascii="仿宋_GB2312" w:hAnsi="仿宋" w:eastAsia="仿宋_GB2312"/>
                <w:sz w:val="24"/>
              </w:rPr>
            </w:pPr>
            <w:r>
              <w:rPr>
                <w:rFonts w:hint="eastAsia" w:ascii="宋体" w:hAnsi="宋体" w:eastAsia="仿宋_GB2312" w:cs="宋体"/>
                <w:color w:val="000000"/>
                <w:kern w:val="0"/>
                <w:sz w:val="24"/>
              </w:rPr>
              <w:t>195,199.00</w:t>
            </w:r>
          </w:p>
        </w:tc>
        <w:tc>
          <w:tcPr>
            <w:tcW w:w="1590" w:type="dxa"/>
            <w:vAlign w:val="center"/>
          </w:tcPr>
          <w:p>
            <w:pPr>
              <w:widowControl/>
              <w:spacing w:line="360" w:lineRule="auto"/>
              <w:jc w:val="center"/>
              <w:textAlignment w:val="center"/>
              <w:rPr>
                <w:rFonts w:ascii="仿宋_GB2312" w:hAnsi="仿宋" w:eastAsia="仿宋_GB2312"/>
                <w:sz w:val="24"/>
              </w:rPr>
            </w:pPr>
            <w:r>
              <w:rPr>
                <w:rFonts w:hint="eastAsia" w:ascii="宋体" w:hAnsi="宋体" w:eastAsia="仿宋_GB2312" w:cs="宋体"/>
                <w:color w:val="000000"/>
                <w:kern w:val="0"/>
                <w:sz w:val="24"/>
              </w:rPr>
              <w:t>217,856.58</w:t>
            </w:r>
          </w:p>
        </w:tc>
        <w:tc>
          <w:tcPr>
            <w:tcW w:w="2446" w:type="dxa"/>
          </w:tcPr>
          <w:p>
            <w:pPr>
              <w:snapToGrid w:val="0"/>
              <w:spacing w:line="360" w:lineRule="auto"/>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56" w:type="dxa"/>
          </w:tcPr>
          <w:p>
            <w:pPr>
              <w:snapToGrid w:val="0"/>
              <w:spacing w:line="360" w:lineRule="auto"/>
              <w:rPr>
                <w:rFonts w:ascii="仿宋_GB2312" w:hAnsi="仿宋" w:eastAsia="仿宋_GB2312"/>
                <w:sz w:val="24"/>
              </w:rPr>
            </w:pPr>
            <w:r>
              <w:rPr>
                <w:rFonts w:hint="eastAsia"/>
                <w:sz w:val="24"/>
              </w:rPr>
              <w:t>医疗卫生与计划生育支出</w:t>
            </w:r>
          </w:p>
        </w:tc>
        <w:tc>
          <w:tcPr>
            <w:tcW w:w="1530" w:type="dxa"/>
            <w:vAlign w:val="center"/>
          </w:tcPr>
          <w:p>
            <w:pPr>
              <w:widowControl/>
              <w:spacing w:line="360" w:lineRule="auto"/>
              <w:jc w:val="center"/>
              <w:textAlignment w:val="center"/>
              <w:rPr>
                <w:rFonts w:ascii="仿宋_GB2312" w:hAnsi="仿宋" w:eastAsia="仿宋_GB2312"/>
                <w:sz w:val="24"/>
              </w:rPr>
            </w:pPr>
            <w:r>
              <w:rPr>
                <w:rFonts w:hint="eastAsia" w:ascii="宋体" w:hAnsi="宋体" w:eastAsia="仿宋_GB2312" w:cs="宋体"/>
                <w:color w:val="000000"/>
                <w:kern w:val="0"/>
                <w:sz w:val="24"/>
              </w:rPr>
              <w:t>10,339.00</w:t>
            </w:r>
          </w:p>
        </w:tc>
        <w:tc>
          <w:tcPr>
            <w:tcW w:w="1590" w:type="dxa"/>
            <w:vAlign w:val="center"/>
          </w:tcPr>
          <w:p>
            <w:pPr>
              <w:widowControl/>
              <w:spacing w:line="360" w:lineRule="auto"/>
              <w:jc w:val="center"/>
              <w:textAlignment w:val="center"/>
              <w:rPr>
                <w:rFonts w:ascii="仿宋_GB2312" w:hAnsi="仿宋" w:eastAsia="仿宋_GB2312"/>
                <w:sz w:val="24"/>
              </w:rPr>
            </w:pPr>
            <w:r>
              <w:rPr>
                <w:rFonts w:hint="eastAsia" w:ascii="宋体" w:hAnsi="宋体" w:eastAsia="仿宋_GB2312" w:cs="宋体"/>
                <w:color w:val="000000"/>
                <w:kern w:val="0"/>
                <w:sz w:val="24"/>
              </w:rPr>
              <w:t>9,133.98</w:t>
            </w:r>
          </w:p>
        </w:tc>
        <w:tc>
          <w:tcPr>
            <w:tcW w:w="2446" w:type="dxa"/>
          </w:tcPr>
          <w:p>
            <w:pPr>
              <w:snapToGrid w:val="0"/>
              <w:spacing w:line="360" w:lineRule="auto"/>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tcPr>
          <w:p>
            <w:pPr>
              <w:snapToGrid w:val="0"/>
              <w:spacing w:line="360" w:lineRule="auto"/>
              <w:rPr>
                <w:rFonts w:ascii="仿宋_GB2312" w:hAnsi="仿宋" w:eastAsia="仿宋_GB2312"/>
                <w:sz w:val="24"/>
              </w:rPr>
            </w:pPr>
            <w:r>
              <w:rPr>
                <w:rFonts w:hint="eastAsia" w:eastAsia="仿宋_GB2312"/>
                <w:sz w:val="24"/>
              </w:rPr>
              <w:t>住房公积金</w:t>
            </w:r>
          </w:p>
        </w:tc>
        <w:tc>
          <w:tcPr>
            <w:tcW w:w="1530" w:type="dxa"/>
          </w:tcPr>
          <w:p>
            <w:pPr>
              <w:snapToGrid w:val="0"/>
              <w:spacing w:line="360" w:lineRule="auto"/>
              <w:jc w:val="center"/>
              <w:rPr>
                <w:rFonts w:ascii="仿宋_GB2312" w:hAnsi="仿宋" w:eastAsia="仿宋_GB2312"/>
                <w:sz w:val="24"/>
              </w:rPr>
            </w:pPr>
            <w:r>
              <w:rPr>
                <w:rFonts w:hint="eastAsia" w:eastAsia="仿宋_GB2312"/>
                <w:sz w:val="24"/>
              </w:rPr>
              <w:t>17,448.00</w:t>
            </w:r>
          </w:p>
        </w:tc>
        <w:tc>
          <w:tcPr>
            <w:tcW w:w="1590" w:type="dxa"/>
          </w:tcPr>
          <w:p>
            <w:pPr>
              <w:snapToGrid w:val="0"/>
              <w:spacing w:line="360" w:lineRule="auto"/>
              <w:jc w:val="center"/>
              <w:rPr>
                <w:rFonts w:ascii="仿宋_GB2312" w:hAnsi="仿宋" w:eastAsia="仿宋_GB2312"/>
                <w:sz w:val="24"/>
              </w:rPr>
            </w:pPr>
            <w:r>
              <w:rPr>
                <w:rFonts w:hint="eastAsia" w:eastAsia="仿宋_GB2312"/>
                <w:sz w:val="24"/>
              </w:rPr>
              <w:t>15,048.00</w:t>
            </w:r>
          </w:p>
        </w:tc>
        <w:tc>
          <w:tcPr>
            <w:tcW w:w="2446" w:type="dxa"/>
          </w:tcPr>
          <w:p>
            <w:pPr>
              <w:snapToGrid w:val="0"/>
              <w:spacing w:line="360" w:lineRule="auto"/>
              <w:rPr>
                <w:rFonts w:ascii="仿宋_GB2312" w:hAnsi="仿宋" w:eastAsia="仿宋_GB2312"/>
                <w:sz w:val="24"/>
              </w:rPr>
            </w:pPr>
          </w:p>
        </w:tc>
      </w:tr>
    </w:tbl>
    <w:p>
      <w:pPr>
        <w:snapToGrid w:val="0"/>
        <w:spacing w:line="360" w:lineRule="auto"/>
        <w:ind w:firstLine="602" w:firstLineChars="200"/>
        <w:rPr>
          <w:rFonts w:ascii="仿宋_GB2312" w:hAnsi="仿宋" w:eastAsia="仿宋_GB2312"/>
          <w:sz w:val="30"/>
          <w:szCs w:val="30"/>
        </w:rPr>
      </w:pPr>
      <w:r>
        <w:rPr>
          <w:rFonts w:hint="eastAsia" w:ascii="仿宋_GB2312" w:hAnsi="仿宋" w:eastAsia="仿宋_GB2312"/>
          <w:b/>
          <w:sz w:val="30"/>
          <w:szCs w:val="30"/>
        </w:rPr>
        <w:t>2．收入支出结构分析。</w:t>
      </w:r>
    </w:p>
    <w:p>
      <w:pPr>
        <w:snapToGrid w:val="0"/>
        <w:spacing w:line="360" w:lineRule="auto"/>
        <w:ind w:firstLine="480"/>
        <w:rPr>
          <w:rFonts w:ascii="仿宋_GB2312" w:hAnsi="仿宋_GB2312" w:eastAsia="仿宋_GB2312" w:cs="仿宋_GB2312"/>
          <w:b/>
          <w:sz w:val="30"/>
          <w:szCs w:val="30"/>
        </w:rPr>
      </w:pPr>
      <w:r>
        <w:rPr>
          <w:rFonts w:hint="eastAsia" w:ascii="仿宋_GB2312" w:hAnsi="仿宋_GB2312" w:eastAsia="仿宋_GB2312" w:cs="仿宋_GB2312"/>
          <w:color w:val="000000"/>
          <w:sz w:val="30"/>
          <w:szCs w:val="30"/>
        </w:rPr>
        <w:t>本年收入49.481976万元，上年度24.914523万元，比上年增加了98.6%，增加原因本年度上级要求培训项目、活动增加，财政拨款相对增加。其中本年度财政拨款25.323076万元，上年度22.749523万元，增加11.31%，原因是本年度工资调整有所增加。</w:t>
      </w:r>
    </w:p>
    <w:p>
      <w:pPr>
        <w:snapToGrid w:val="0"/>
        <w:spacing w:line="360" w:lineRule="auto"/>
        <w:ind w:firstLine="602" w:firstLineChars="200"/>
        <w:rPr>
          <w:rFonts w:ascii="黑体" w:hAnsi="黑体" w:eastAsia="黑体" w:cs="黑体"/>
          <w:b/>
          <w:sz w:val="30"/>
          <w:szCs w:val="30"/>
        </w:rPr>
      </w:pPr>
      <w:r>
        <w:rPr>
          <w:rFonts w:hint="eastAsia" w:ascii="黑体" w:hAnsi="黑体" w:eastAsia="黑体" w:cs="黑体"/>
          <w:b/>
          <w:sz w:val="30"/>
          <w:szCs w:val="30"/>
        </w:rPr>
        <w:t>二、“三公”经费支出情况：</w:t>
      </w:r>
    </w:p>
    <w:p>
      <w:pPr>
        <w:snapToGrid w:val="0"/>
        <w:spacing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1“三公”经费总额为0元，上年也为0元，增加减少没变化。</w:t>
      </w:r>
    </w:p>
    <w:p>
      <w:pPr>
        <w:snapToGrid w:val="0"/>
        <w:spacing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（1）细化说明因公出国（境）团组数及人数,我单位无此项目支出。</w:t>
      </w:r>
    </w:p>
    <w:p>
      <w:pPr>
        <w:snapToGrid w:val="0"/>
        <w:spacing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（2）“公务用车购置和运行费”是否细化公开为“公务用车购置费”和“公务用车运行费” 我单位无此项目支出。</w:t>
      </w:r>
    </w:p>
    <w:p>
      <w:pPr>
        <w:snapToGrid w:val="0"/>
        <w:spacing w:line="360" w:lineRule="auto"/>
        <w:ind w:firstLine="750" w:firstLineChars="25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( 3 )</w:t>
      </w:r>
      <w:r>
        <w:rPr>
          <w:rFonts w:hint="eastAsia"/>
          <w:sz w:val="30"/>
          <w:szCs w:val="30"/>
        </w:rPr>
        <w:t xml:space="preserve"> </w:t>
      </w:r>
      <w:r>
        <w:rPr>
          <w:rFonts w:hint="eastAsia" w:ascii="仿宋_GB2312" w:hAnsi="仿宋_GB2312" w:eastAsia="仿宋_GB2312" w:cs="仿宋_GB2312"/>
          <w:color w:val="000000"/>
          <w:sz w:val="30"/>
          <w:szCs w:val="30"/>
        </w:rPr>
        <w:t>公务用车购置数及保有量。我单位没有车辆。</w:t>
      </w:r>
    </w:p>
    <w:p>
      <w:pPr>
        <w:snapToGrid w:val="0"/>
        <w:spacing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( 4 )</w:t>
      </w:r>
      <w:r>
        <w:rPr>
          <w:rFonts w:hint="eastAsia"/>
          <w:sz w:val="30"/>
          <w:szCs w:val="30"/>
        </w:rPr>
        <w:t xml:space="preserve"> </w:t>
      </w:r>
      <w:r>
        <w:rPr>
          <w:rFonts w:hint="eastAsia" w:ascii="仿宋_GB2312" w:hAnsi="仿宋_GB2312" w:eastAsia="仿宋_GB2312" w:cs="仿宋_GB2312"/>
          <w:color w:val="000000"/>
          <w:sz w:val="30"/>
          <w:szCs w:val="30"/>
        </w:rPr>
        <w:t>国内公务接待的批次0、人数0，我单位无此项目支出。</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2会议费支出情况：本年度会议召开。</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3培训费支出情况：本年度无此项支出。</w:t>
      </w:r>
    </w:p>
    <w:p>
      <w:pPr>
        <w:snapToGrid w:val="0"/>
        <w:spacing w:line="360" w:lineRule="auto"/>
        <w:ind w:firstLine="602" w:firstLineChars="200"/>
        <w:rPr>
          <w:rFonts w:ascii="黑体" w:hAnsi="黑体" w:eastAsia="黑体" w:cs="黑体"/>
          <w:b/>
          <w:bCs/>
          <w:sz w:val="30"/>
          <w:szCs w:val="30"/>
        </w:rPr>
      </w:pPr>
      <w:r>
        <w:rPr>
          <w:rFonts w:hint="eastAsia" w:ascii="黑体" w:hAnsi="黑体" w:eastAsia="黑体" w:cs="黑体"/>
          <w:b/>
          <w:bCs/>
          <w:sz w:val="30"/>
          <w:szCs w:val="30"/>
        </w:rPr>
        <w:t>三、机关运行经费执行情况说明及政府采购说明</w:t>
      </w:r>
    </w:p>
    <w:p>
      <w:pPr>
        <w:snapToGrid w:val="0"/>
        <w:spacing w:line="360" w:lineRule="auto"/>
        <w:ind w:firstLine="602" w:firstLineChars="200"/>
        <w:rPr>
          <w:rFonts w:ascii="仿宋_GB2312" w:hAnsi="仿宋_GB2312" w:eastAsia="仿宋_GB2312" w:cs="仿宋_GB2312"/>
          <w:b/>
          <w:bCs/>
          <w:color w:val="333333"/>
          <w:sz w:val="30"/>
          <w:szCs w:val="30"/>
          <w:shd w:val="clear" w:color="auto" w:fill="FFFFFF"/>
        </w:rPr>
      </w:pPr>
      <w:r>
        <w:rPr>
          <w:rFonts w:hint="eastAsia" w:ascii="仿宋_GB2312" w:hAnsi="仿宋_GB2312" w:eastAsia="仿宋_GB2312" w:cs="仿宋_GB2312"/>
          <w:b/>
          <w:bCs/>
          <w:sz w:val="30"/>
          <w:szCs w:val="30"/>
        </w:rPr>
        <w:t>1、机关运行经费执行情况说明</w:t>
      </w:r>
    </w:p>
    <w:p>
      <w:pPr>
        <w:snapToGrid w:val="0"/>
        <w:spacing w:line="360" w:lineRule="auto"/>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 xml:space="preserve">2018年人员经费187434.76元，本年度内办公用房取暖费0元，日常办公费支出51623.8元。2017年人员经费为199015.23元，日常办公费支出19810元，比上年增加161%，增加原因：                </w:t>
      </w:r>
    </w:p>
    <w:p>
      <w:pPr>
        <w:snapToGrid w:val="0"/>
        <w:spacing w:line="360" w:lineRule="auto"/>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(1)红总会拨付“博爱家园”项目费，其中有软件建设（宣传）经费。</w:t>
      </w:r>
    </w:p>
    <w:p>
      <w:pPr>
        <w:snapToGrid w:val="0"/>
        <w:spacing w:line="360" w:lineRule="auto"/>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（2）省市开展“应急救护培训”印刷资料费。</w:t>
      </w:r>
    </w:p>
    <w:p>
      <w:pPr>
        <w:snapToGrid w:val="0"/>
        <w:spacing w:line="360" w:lineRule="auto"/>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（3）购买办公设备费用（</w:t>
      </w:r>
      <w:r>
        <w:rPr>
          <w:rFonts w:hint="eastAsia" w:ascii="仿宋_GB2312" w:hAnsi="仿宋_GB2312" w:eastAsia="仿宋_GB2312" w:cs="仿宋_GB2312"/>
          <w:color w:val="000000"/>
          <w:sz w:val="30"/>
          <w:szCs w:val="30"/>
        </w:rPr>
        <w:t>两个柜子、一套沙发、一套办公桌</w:t>
      </w:r>
      <w:r>
        <w:rPr>
          <w:rFonts w:hint="eastAsia" w:ascii="仿宋_GB2312" w:hAnsi="仿宋_GB2312" w:eastAsia="仿宋_GB2312" w:cs="仿宋_GB2312"/>
          <w:color w:val="000000"/>
          <w:kern w:val="0"/>
          <w:sz w:val="30"/>
          <w:szCs w:val="30"/>
        </w:rPr>
        <w:t>）。</w:t>
      </w:r>
    </w:p>
    <w:p>
      <w:pPr>
        <w:snapToGrid w:val="0"/>
        <w:spacing w:line="360" w:lineRule="auto"/>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bCs/>
          <w:sz w:val="30"/>
          <w:szCs w:val="30"/>
        </w:rPr>
        <w:t>2、2018年政府采购经费说明</w:t>
      </w:r>
    </w:p>
    <w:p>
      <w:pPr>
        <w:snapToGrid w:val="0"/>
        <w:spacing w:line="360" w:lineRule="auto"/>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2018年本单位无政府采购活动。</w:t>
      </w:r>
    </w:p>
    <w:p>
      <w:pPr>
        <w:ind w:firstLine="636"/>
        <w:rPr>
          <w:rStyle w:val="12"/>
          <w:rFonts w:ascii="仿宋_GB2312" w:hAnsi="楷体" w:eastAsia="仿宋_GB2312"/>
          <w:b/>
          <w:sz w:val="32"/>
          <w:szCs w:val="32"/>
        </w:rPr>
      </w:pPr>
      <w:r>
        <w:rPr>
          <w:rStyle w:val="12"/>
          <w:rFonts w:hint="eastAsia" w:ascii="仿宋_GB2312" w:hAnsi="楷体" w:eastAsia="仿宋_GB2312"/>
          <w:b/>
          <w:sz w:val="32"/>
          <w:szCs w:val="32"/>
        </w:rPr>
        <w:t>四</w:t>
      </w:r>
      <w:r>
        <w:rPr>
          <w:rStyle w:val="12"/>
          <w:rFonts w:ascii="仿宋_GB2312" w:hAnsi="楷体" w:eastAsia="仿宋_GB2312"/>
          <w:b/>
          <w:sz w:val="32"/>
          <w:szCs w:val="32"/>
        </w:rPr>
        <w:t>、绩效管理情况</w:t>
      </w:r>
    </w:p>
    <w:p>
      <w:pPr>
        <w:ind w:firstLine="636"/>
        <w:rPr>
          <w:rStyle w:val="12"/>
          <w:rFonts w:ascii="仿宋_GB2312" w:hAnsi="仿宋" w:eastAsia="仿宋_GB2312"/>
          <w:sz w:val="32"/>
          <w:szCs w:val="32"/>
        </w:rPr>
      </w:pPr>
      <w:r>
        <w:rPr>
          <w:rStyle w:val="12"/>
          <w:rFonts w:ascii="仿宋_GB2312" w:hAnsi="仿宋" w:eastAsia="仿宋_GB2312"/>
          <w:sz w:val="32"/>
          <w:szCs w:val="32"/>
        </w:rPr>
        <w:t>1、绩效管理情况</w:t>
      </w:r>
    </w:p>
    <w:p>
      <w:pPr>
        <w:ind w:firstLine="636"/>
        <w:rPr>
          <w:rStyle w:val="12"/>
          <w:rFonts w:ascii="仿宋_GB2312" w:hAnsi="仿宋" w:eastAsia="仿宋_GB2312"/>
          <w:sz w:val="32"/>
          <w:szCs w:val="32"/>
        </w:rPr>
      </w:pPr>
      <w:r>
        <w:rPr>
          <w:rStyle w:val="12"/>
          <w:rFonts w:ascii="仿宋_GB2312" w:hAnsi="仿宋" w:eastAsia="仿宋_GB2312"/>
          <w:sz w:val="32"/>
          <w:szCs w:val="32"/>
        </w:rPr>
        <w:t>201</w:t>
      </w:r>
      <w:r>
        <w:rPr>
          <w:rStyle w:val="12"/>
          <w:rFonts w:hint="eastAsia" w:ascii="仿宋_GB2312" w:hAnsi="仿宋" w:eastAsia="仿宋_GB2312"/>
          <w:sz w:val="32"/>
          <w:szCs w:val="32"/>
        </w:rPr>
        <w:t>8</w:t>
      </w:r>
      <w:r>
        <w:rPr>
          <w:rStyle w:val="12"/>
          <w:rFonts w:ascii="仿宋_GB2312" w:hAnsi="仿宋" w:eastAsia="仿宋_GB2312"/>
          <w:sz w:val="32"/>
          <w:szCs w:val="32"/>
        </w:rPr>
        <w:t>年</w:t>
      </w:r>
      <w:r>
        <w:rPr>
          <w:rStyle w:val="12"/>
          <w:rFonts w:ascii="仿宋_GB2312" w:hAnsi="楷体" w:eastAsia="仿宋_GB2312"/>
          <w:sz w:val="32"/>
          <w:szCs w:val="32"/>
        </w:rPr>
        <w:t>我单位</w:t>
      </w:r>
      <w:r>
        <w:rPr>
          <w:rStyle w:val="12"/>
          <w:rFonts w:ascii="仿宋_GB2312" w:hAnsi="仿宋" w:eastAsia="仿宋_GB2312"/>
          <w:sz w:val="32"/>
          <w:szCs w:val="32"/>
        </w:rPr>
        <w:t>实行绩效目标管理的项目0个，涉及一般公共预算当年拨款0元。</w:t>
      </w:r>
    </w:p>
    <w:p>
      <w:pPr>
        <w:ind w:firstLine="636"/>
        <w:rPr>
          <w:rStyle w:val="12"/>
          <w:rFonts w:ascii="仿宋_GB2312" w:hAnsi="仿宋" w:eastAsia="仿宋_GB2312"/>
          <w:sz w:val="32"/>
          <w:szCs w:val="32"/>
        </w:rPr>
      </w:pPr>
      <w:r>
        <w:rPr>
          <w:rStyle w:val="12"/>
          <w:rFonts w:ascii="仿宋_GB2312" w:hAnsi="仿宋" w:eastAsia="仿宋_GB2312"/>
          <w:sz w:val="32"/>
          <w:szCs w:val="32"/>
        </w:rPr>
        <w:t>2、绩效目标情况。无绩效目标</w:t>
      </w:r>
    </w:p>
    <w:p>
      <w:pPr>
        <w:ind w:firstLine="636"/>
        <w:rPr>
          <w:rStyle w:val="12"/>
          <w:rFonts w:ascii="仿宋_GB2312" w:hAnsi="楷体" w:eastAsia="仿宋_GB2312"/>
          <w:b/>
          <w:sz w:val="32"/>
          <w:szCs w:val="32"/>
        </w:rPr>
      </w:pPr>
      <w:r>
        <w:rPr>
          <w:rStyle w:val="12"/>
          <w:rFonts w:hint="eastAsia" w:ascii="仿宋_GB2312" w:hAnsi="楷体" w:eastAsia="仿宋_GB2312"/>
          <w:b/>
          <w:sz w:val="32"/>
          <w:szCs w:val="32"/>
        </w:rPr>
        <w:t>五</w:t>
      </w:r>
      <w:r>
        <w:rPr>
          <w:rStyle w:val="12"/>
          <w:rFonts w:ascii="仿宋_GB2312" w:hAnsi="楷体" w:eastAsia="仿宋_GB2312"/>
          <w:b/>
          <w:sz w:val="32"/>
          <w:szCs w:val="32"/>
        </w:rPr>
        <w:t>、国有资产占有使用情况及上下年对比情况（参照决算</w:t>
      </w:r>
      <w:r>
        <w:rPr>
          <w:rStyle w:val="12"/>
          <w:rFonts w:ascii="仿宋_GB2312" w:hAnsi="仿宋" w:eastAsia="仿宋_GB2312"/>
          <w:b/>
          <w:sz w:val="32"/>
          <w:szCs w:val="32"/>
        </w:rPr>
        <w:t>F01表预算支出相关信息表表</w:t>
      </w:r>
      <w:r>
        <w:rPr>
          <w:rStyle w:val="12"/>
          <w:rFonts w:ascii="仿宋_GB2312" w:hAnsi="楷体" w:eastAsia="仿宋_GB2312"/>
          <w:b/>
          <w:sz w:val="32"/>
          <w:szCs w:val="32"/>
        </w:rPr>
        <w:t>）</w:t>
      </w:r>
    </w:p>
    <w:p>
      <w:pPr>
        <w:ind w:firstLine="636"/>
        <w:rPr>
          <w:rStyle w:val="12"/>
          <w:rFonts w:ascii="仿宋_GB2312" w:hAnsi="楷体" w:eastAsia="仿宋_GB2312"/>
          <w:sz w:val="32"/>
          <w:szCs w:val="32"/>
        </w:rPr>
      </w:pPr>
      <w:r>
        <w:rPr>
          <w:rStyle w:val="12"/>
          <w:rFonts w:ascii="仿宋_GB2312" w:hAnsi="仿宋" w:eastAsia="仿宋_GB2312"/>
          <w:sz w:val="32"/>
          <w:szCs w:val="32"/>
        </w:rPr>
        <w:t>（一）国有资产占有使用情况</w:t>
      </w:r>
    </w:p>
    <w:p>
      <w:pPr>
        <w:ind w:firstLine="636"/>
        <w:rPr>
          <w:rStyle w:val="12"/>
          <w:rFonts w:ascii="仿宋_GB2312" w:hAnsi="仿宋" w:eastAsia="仿宋_GB2312"/>
          <w:sz w:val="32"/>
          <w:szCs w:val="32"/>
        </w:rPr>
      </w:pPr>
      <w:r>
        <w:rPr>
          <w:rStyle w:val="12"/>
          <w:rFonts w:ascii="仿宋_GB2312" w:hAnsi="仿宋" w:eastAsia="仿宋_GB2312"/>
          <w:sz w:val="32"/>
          <w:szCs w:val="32"/>
        </w:rPr>
        <w:t>1、车辆情况；无车辆。</w:t>
      </w:r>
    </w:p>
    <w:p>
      <w:pPr>
        <w:ind w:firstLine="636"/>
        <w:rPr>
          <w:rStyle w:val="12"/>
          <w:rFonts w:ascii="仿宋_GB2312" w:hAnsi="仿宋" w:eastAsia="仿宋_GB2312"/>
          <w:sz w:val="32"/>
          <w:szCs w:val="32"/>
        </w:rPr>
      </w:pPr>
      <w:r>
        <w:rPr>
          <w:rStyle w:val="12"/>
          <w:rFonts w:ascii="仿宋_GB2312" w:hAnsi="仿宋" w:eastAsia="仿宋_GB2312"/>
          <w:sz w:val="32"/>
          <w:szCs w:val="32"/>
        </w:rPr>
        <w:t>2、房屋情况；我单位使用卫生局办公用房。</w:t>
      </w:r>
    </w:p>
    <w:p>
      <w:pPr>
        <w:ind w:firstLine="636"/>
        <w:rPr>
          <w:rStyle w:val="12"/>
          <w:rFonts w:ascii="仿宋" w:hAnsi="仿宋" w:eastAsia="仿宋"/>
          <w:sz w:val="32"/>
          <w:szCs w:val="32"/>
        </w:rPr>
      </w:pPr>
      <w:r>
        <w:rPr>
          <w:rStyle w:val="12"/>
          <w:rFonts w:ascii="仿宋_GB2312" w:hAnsi="仿宋" w:eastAsia="仿宋_GB2312"/>
          <w:sz w:val="32"/>
          <w:szCs w:val="32"/>
        </w:rPr>
        <w:t>3、其他国有资产占有使用情况</w:t>
      </w:r>
      <w:r>
        <w:rPr>
          <w:rStyle w:val="12"/>
          <w:rFonts w:ascii="仿宋" w:hAnsi="仿宋" w:eastAsia="仿宋"/>
          <w:sz w:val="32"/>
          <w:szCs w:val="32"/>
        </w:rPr>
        <w:t>。我单位其他国有资产属于单位办公家具及办公设备，占总资产的100%。</w:t>
      </w:r>
    </w:p>
    <w:p>
      <w:pPr>
        <w:ind w:firstLine="636"/>
        <w:rPr>
          <w:rStyle w:val="12"/>
          <w:rFonts w:ascii="仿宋_GB2312" w:hAnsi="楷体" w:eastAsia="仿宋_GB2312"/>
          <w:sz w:val="32"/>
          <w:szCs w:val="32"/>
        </w:rPr>
      </w:pPr>
      <w:r>
        <w:rPr>
          <w:rStyle w:val="12"/>
          <w:rFonts w:ascii="仿宋_GB2312" w:hAnsi="仿宋" w:eastAsia="仿宋_GB2312"/>
          <w:sz w:val="32"/>
          <w:szCs w:val="32"/>
        </w:rPr>
        <w:t>（二）</w:t>
      </w:r>
      <w:r>
        <w:rPr>
          <w:rStyle w:val="12"/>
          <w:rFonts w:ascii="仿宋_GB2312" w:hAnsi="楷体" w:eastAsia="仿宋_GB2312"/>
          <w:sz w:val="32"/>
          <w:szCs w:val="32"/>
        </w:rPr>
        <w:t>资产上下年对比情况</w:t>
      </w:r>
    </w:p>
    <w:tbl>
      <w:tblPr>
        <w:tblStyle w:val="5"/>
        <w:tblW w:w="9580"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40"/>
        <w:gridCol w:w="2380"/>
        <w:gridCol w:w="2380"/>
        <w:gridCol w:w="2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44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Style w:val="12"/>
                <w:rFonts w:ascii="宋体" w:hAnsi="宋体" w:cs="Arial"/>
                <w:bCs/>
                <w:color w:val="000000"/>
                <w:kern w:val="0"/>
                <w:sz w:val="20"/>
                <w:szCs w:val="20"/>
              </w:rPr>
            </w:pPr>
            <w:r>
              <w:rPr>
                <w:rStyle w:val="12"/>
                <w:rFonts w:ascii="宋体" w:hAnsi="宋体" w:cs="Arial"/>
                <w:bCs/>
                <w:color w:val="000000"/>
                <w:kern w:val="0"/>
                <w:sz w:val="20"/>
                <w:szCs w:val="20"/>
              </w:rPr>
              <w:t>固定资产类</w:t>
            </w:r>
          </w:p>
        </w:tc>
        <w:tc>
          <w:tcPr>
            <w:tcW w:w="4760" w:type="dxa"/>
            <w:gridSpan w:val="2"/>
            <w:tcBorders>
              <w:top w:val="single" w:color="000000" w:sz="4" w:space="0"/>
              <w:left w:val="nil"/>
              <w:bottom w:val="single" w:color="000000" w:sz="4" w:space="0"/>
              <w:right w:val="single" w:color="000000" w:sz="4" w:space="0"/>
            </w:tcBorders>
            <w:noWrap/>
            <w:vAlign w:val="center"/>
          </w:tcPr>
          <w:p>
            <w:pPr>
              <w:jc w:val="center"/>
              <w:rPr>
                <w:rStyle w:val="12"/>
                <w:rFonts w:ascii="宋体" w:hAnsi="宋体" w:cs="Arial"/>
                <w:bCs/>
                <w:color w:val="000000"/>
                <w:kern w:val="0"/>
                <w:sz w:val="20"/>
                <w:szCs w:val="20"/>
              </w:rPr>
            </w:pPr>
            <w:r>
              <w:rPr>
                <w:rStyle w:val="12"/>
                <w:rFonts w:ascii="宋体" w:hAnsi="宋体" w:cs="Arial"/>
                <w:bCs/>
                <w:color w:val="000000"/>
                <w:kern w:val="0"/>
                <w:sz w:val="20"/>
                <w:szCs w:val="20"/>
              </w:rPr>
              <w:t>金额</w:t>
            </w:r>
          </w:p>
        </w:tc>
        <w:tc>
          <w:tcPr>
            <w:tcW w:w="238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Style w:val="12"/>
                <w:rFonts w:ascii="宋体" w:hAnsi="宋体" w:cs="Arial"/>
                <w:bCs/>
                <w:color w:val="000000"/>
                <w:kern w:val="0"/>
                <w:sz w:val="20"/>
                <w:szCs w:val="20"/>
              </w:rPr>
            </w:pPr>
            <w:r>
              <w:rPr>
                <w:rStyle w:val="12"/>
                <w:rFonts w:ascii="宋体" w:hAnsi="宋体" w:cs="Arial"/>
                <w:bCs/>
                <w:color w:val="000000"/>
                <w:kern w:val="0"/>
                <w:sz w:val="20"/>
                <w:szCs w:val="20"/>
              </w:rPr>
              <w:t>差额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44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2"/>
                <w:rFonts w:ascii="宋体" w:hAnsi="宋体" w:cs="Arial"/>
                <w:bCs/>
                <w:color w:val="000000"/>
                <w:kern w:val="0"/>
                <w:sz w:val="20"/>
                <w:szCs w:val="20"/>
              </w:rPr>
            </w:pPr>
          </w:p>
        </w:tc>
        <w:tc>
          <w:tcPr>
            <w:tcW w:w="2380" w:type="dxa"/>
            <w:tcBorders>
              <w:top w:val="nil"/>
              <w:left w:val="nil"/>
              <w:bottom w:val="single" w:color="000000" w:sz="4" w:space="0"/>
              <w:right w:val="single" w:color="000000" w:sz="4" w:space="0"/>
            </w:tcBorders>
            <w:noWrap/>
            <w:vAlign w:val="center"/>
          </w:tcPr>
          <w:p>
            <w:pPr>
              <w:jc w:val="center"/>
              <w:rPr>
                <w:rStyle w:val="12"/>
                <w:rFonts w:ascii="Arial" w:hAnsi="Arial" w:cs="Arial"/>
                <w:bCs/>
                <w:color w:val="000000"/>
                <w:kern w:val="0"/>
                <w:sz w:val="20"/>
                <w:szCs w:val="20"/>
              </w:rPr>
            </w:pPr>
            <w:r>
              <w:rPr>
                <w:rStyle w:val="12"/>
                <w:rFonts w:ascii="Arial" w:hAnsi="Arial" w:cs="Arial"/>
                <w:bCs/>
                <w:color w:val="000000"/>
                <w:kern w:val="0"/>
                <w:sz w:val="20"/>
                <w:szCs w:val="20"/>
              </w:rPr>
              <w:t>201</w:t>
            </w:r>
            <w:r>
              <w:rPr>
                <w:rStyle w:val="12"/>
                <w:rFonts w:hint="eastAsia" w:ascii="Arial" w:hAnsi="Arial" w:cs="Arial"/>
                <w:bCs/>
                <w:color w:val="000000"/>
                <w:kern w:val="0"/>
                <w:sz w:val="20"/>
                <w:szCs w:val="20"/>
              </w:rPr>
              <w:t>8</w:t>
            </w:r>
            <w:r>
              <w:rPr>
                <w:rStyle w:val="12"/>
                <w:rFonts w:ascii="宋体" w:hAnsi="宋体" w:cs="Arial"/>
                <w:bCs/>
                <w:color w:val="000000"/>
                <w:kern w:val="0"/>
                <w:sz w:val="20"/>
                <w:szCs w:val="20"/>
              </w:rPr>
              <w:t>年度</w:t>
            </w:r>
          </w:p>
        </w:tc>
        <w:tc>
          <w:tcPr>
            <w:tcW w:w="2380" w:type="dxa"/>
            <w:tcBorders>
              <w:top w:val="nil"/>
              <w:left w:val="nil"/>
              <w:bottom w:val="single" w:color="000000" w:sz="4" w:space="0"/>
              <w:right w:val="single" w:color="000000" w:sz="4" w:space="0"/>
            </w:tcBorders>
            <w:noWrap/>
            <w:vAlign w:val="center"/>
          </w:tcPr>
          <w:p>
            <w:pPr>
              <w:jc w:val="center"/>
              <w:rPr>
                <w:rStyle w:val="12"/>
                <w:rFonts w:ascii="Arial" w:hAnsi="Arial" w:cs="Arial"/>
                <w:bCs/>
                <w:color w:val="000000"/>
                <w:kern w:val="0"/>
                <w:sz w:val="20"/>
                <w:szCs w:val="20"/>
              </w:rPr>
            </w:pPr>
            <w:r>
              <w:rPr>
                <w:rStyle w:val="12"/>
                <w:rFonts w:ascii="Arial" w:hAnsi="Arial" w:cs="Arial"/>
                <w:bCs/>
                <w:color w:val="000000"/>
                <w:kern w:val="0"/>
                <w:sz w:val="20"/>
                <w:szCs w:val="20"/>
              </w:rPr>
              <w:t>201</w:t>
            </w:r>
            <w:r>
              <w:rPr>
                <w:rStyle w:val="12"/>
                <w:rFonts w:hint="eastAsia" w:ascii="Arial" w:hAnsi="Arial" w:cs="Arial"/>
                <w:bCs/>
                <w:color w:val="000000"/>
                <w:kern w:val="0"/>
                <w:sz w:val="20"/>
                <w:szCs w:val="20"/>
              </w:rPr>
              <w:t>7</w:t>
            </w:r>
            <w:r>
              <w:rPr>
                <w:rStyle w:val="12"/>
                <w:rFonts w:ascii="宋体" w:hAnsi="宋体" w:cs="Arial"/>
                <w:bCs/>
                <w:color w:val="000000"/>
                <w:kern w:val="0"/>
                <w:sz w:val="20"/>
                <w:szCs w:val="20"/>
              </w:rPr>
              <w:t>年度</w:t>
            </w:r>
          </w:p>
        </w:tc>
        <w:tc>
          <w:tcPr>
            <w:tcW w:w="238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Style w:val="12"/>
                <w:rFonts w:ascii="宋体" w:hAnsi="宋体" w:cs="Arial"/>
                <w:bCs/>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440" w:type="dxa"/>
            <w:tcBorders>
              <w:top w:val="nil"/>
              <w:left w:val="single" w:color="000000" w:sz="4" w:space="0"/>
              <w:bottom w:val="single" w:color="000000" w:sz="4" w:space="0"/>
              <w:right w:val="single" w:color="000000" w:sz="4" w:space="0"/>
            </w:tcBorders>
            <w:noWrap/>
            <w:vAlign w:val="center"/>
          </w:tcPr>
          <w:p>
            <w:pPr>
              <w:jc w:val="left"/>
              <w:rPr>
                <w:rStyle w:val="12"/>
                <w:rFonts w:ascii="宋体" w:hAnsi="宋体"/>
                <w:color w:val="000000"/>
                <w:kern w:val="0"/>
                <w:sz w:val="20"/>
                <w:szCs w:val="20"/>
              </w:rPr>
            </w:pPr>
            <w:r>
              <w:rPr>
                <w:rStyle w:val="12"/>
                <w:rFonts w:ascii="宋体" w:hAnsi="宋体"/>
                <w:color w:val="000000"/>
                <w:kern w:val="0"/>
                <w:sz w:val="20"/>
                <w:szCs w:val="20"/>
              </w:rPr>
              <w:t>车辆资产原值（A）</w:t>
            </w:r>
          </w:p>
        </w:tc>
        <w:tc>
          <w:tcPr>
            <w:tcW w:w="2380" w:type="dxa"/>
            <w:tcBorders>
              <w:top w:val="nil"/>
              <w:left w:val="nil"/>
              <w:bottom w:val="single" w:color="000000" w:sz="4" w:space="0"/>
              <w:right w:val="single" w:color="000000" w:sz="4" w:space="0"/>
            </w:tcBorders>
            <w:noWrap/>
            <w:vAlign w:val="center"/>
          </w:tcPr>
          <w:p>
            <w:pPr>
              <w:jc w:val="center"/>
              <w:rPr>
                <w:rStyle w:val="12"/>
                <w:rFonts w:ascii="Arial" w:hAnsi="Arial"/>
                <w:color w:val="000000"/>
                <w:kern w:val="0"/>
                <w:sz w:val="20"/>
                <w:szCs w:val="20"/>
              </w:rPr>
            </w:pPr>
            <w:r>
              <w:rPr>
                <w:rStyle w:val="12"/>
                <w:rFonts w:ascii="Arial" w:hAnsi="Arial"/>
                <w:color w:val="000000"/>
                <w:kern w:val="0"/>
                <w:sz w:val="20"/>
                <w:szCs w:val="20"/>
              </w:rPr>
              <w:t>0</w:t>
            </w:r>
          </w:p>
        </w:tc>
        <w:tc>
          <w:tcPr>
            <w:tcW w:w="2380" w:type="dxa"/>
            <w:tcBorders>
              <w:top w:val="nil"/>
              <w:left w:val="nil"/>
              <w:bottom w:val="single" w:color="000000" w:sz="4" w:space="0"/>
              <w:right w:val="single" w:color="000000" w:sz="4" w:space="0"/>
            </w:tcBorders>
            <w:noWrap/>
            <w:vAlign w:val="center"/>
          </w:tcPr>
          <w:p>
            <w:pPr>
              <w:jc w:val="center"/>
              <w:rPr>
                <w:rStyle w:val="12"/>
                <w:rFonts w:ascii="Arial" w:hAnsi="Arial"/>
                <w:color w:val="000000"/>
                <w:kern w:val="0"/>
                <w:sz w:val="20"/>
                <w:szCs w:val="20"/>
              </w:rPr>
            </w:pPr>
            <w:r>
              <w:rPr>
                <w:rStyle w:val="12"/>
                <w:rFonts w:ascii="Arial" w:hAnsi="Arial"/>
                <w:color w:val="000000"/>
                <w:kern w:val="0"/>
                <w:sz w:val="20"/>
                <w:szCs w:val="20"/>
              </w:rPr>
              <w:t>0　</w:t>
            </w:r>
          </w:p>
        </w:tc>
        <w:tc>
          <w:tcPr>
            <w:tcW w:w="2380" w:type="dxa"/>
            <w:tcBorders>
              <w:top w:val="nil"/>
              <w:left w:val="nil"/>
              <w:bottom w:val="single" w:color="000000" w:sz="4" w:space="0"/>
              <w:right w:val="single" w:color="000000" w:sz="4" w:space="0"/>
            </w:tcBorders>
            <w:noWrap/>
            <w:vAlign w:val="center"/>
          </w:tcPr>
          <w:p>
            <w:pPr>
              <w:jc w:val="left"/>
              <w:rPr>
                <w:rStyle w:val="12"/>
                <w:rFonts w:ascii="Arial" w:hAnsi="Arial"/>
                <w:color w:val="000000"/>
                <w:kern w:val="0"/>
                <w:sz w:val="20"/>
                <w:szCs w:val="20"/>
              </w:rPr>
            </w:pPr>
            <w:r>
              <w:rPr>
                <w:rStyle w:val="12"/>
                <w:rFonts w:ascii="Arial" w:hAnsi="Arial"/>
                <w:color w:val="000000"/>
                <w:kern w:val="0"/>
                <w:sz w:val="20"/>
                <w:szCs w:val="2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440" w:type="dxa"/>
            <w:tcBorders>
              <w:top w:val="nil"/>
              <w:left w:val="single" w:color="000000" w:sz="4" w:space="0"/>
              <w:bottom w:val="single" w:color="000000" w:sz="4" w:space="0"/>
              <w:right w:val="single" w:color="000000" w:sz="4" w:space="0"/>
            </w:tcBorders>
            <w:noWrap/>
            <w:vAlign w:val="center"/>
          </w:tcPr>
          <w:p>
            <w:pPr>
              <w:jc w:val="left"/>
              <w:rPr>
                <w:rStyle w:val="12"/>
                <w:rFonts w:ascii="宋体" w:hAnsi="宋体"/>
                <w:color w:val="000000"/>
                <w:kern w:val="0"/>
                <w:sz w:val="20"/>
                <w:szCs w:val="20"/>
              </w:rPr>
            </w:pPr>
            <w:r>
              <w:rPr>
                <w:rStyle w:val="12"/>
                <w:rFonts w:ascii="宋体" w:hAnsi="宋体"/>
                <w:color w:val="000000"/>
                <w:kern w:val="0"/>
                <w:sz w:val="20"/>
                <w:szCs w:val="20"/>
              </w:rPr>
              <w:t>房屋资产原值（B）</w:t>
            </w:r>
          </w:p>
        </w:tc>
        <w:tc>
          <w:tcPr>
            <w:tcW w:w="2380" w:type="dxa"/>
            <w:tcBorders>
              <w:top w:val="nil"/>
              <w:left w:val="nil"/>
              <w:bottom w:val="single" w:color="000000" w:sz="4" w:space="0"/>
              <w:right w:val="single" w:color="000000" w:sz="4" w:space="0"/>
            </w:tcBorders>
            <w:noWrap/>
            <w:vAlign w:val="center"/>
          </w:tcPr>
          <w:p>
            <w:pPr>
              <w:jc w:val="center"/>
              <w:rPr>
                <w:rStyle w:val="12"/>
                <w:rFonts w:ascii="Arial" w:hAnsi="Arial"/>
                <w:color w:val="000000"/>
                <w:kern w:val="0"/>
                <w:sz w:val="20"/>
                <w:szCs w:val="20"/>
              </w:rPr>
            </w:pPr>
            <w:r>
              <w:rPr>
                <w:rStyle w:val="12"/>
                <w:rFonts w:ascii="Arial" w:hAnsi="Arial"/>
                <w:color w:val="000000"/>
                <w:kern w:val="0"/>
                <w:sz w:val="20"/>
                <w:szCs w:val="20"/>
              </w:rPr>
              <w:t>0</w:t>
            </w:r>
          </w:p>
        </w:tc>
        <w:tc>
          <w:tcPr>
            <w:tcW w:w="2380" w:type="dxa"/>
            <w:tcBorders>
              <w:top w:val="nil"/>
              <w:left w:val="nil"/>
              <w:bottom w:val="single" w:color="000000" w:sz="4" w:space="0"/>
              <w:right w:val="single" w:color="000000" w:sz="4" w:space="0"/>
            </w:tcBorders>
            <w:noWrap/>
            <w:vAlign w:val="center"/>
          </w:tcPr>
          <w:p>
            <w:pPr>
              <w:jc w:val="center"/>
              <w:rPr>
                <w:rStyle w:val="12"/>
                <w:rFonts w:ascii="Arial" w:hAnsi="Arial"/>
                <w:color w:val="000000"/>
                <w:kern w:val="0"/>
                <w:sz w:val="20"/>
                <w:szCs w:val="20"/>
              </w:rPr>
            </w:pPr>
            <w:r>
              <w:rPr>
                <w:rStyle w:val="12"/>
                <w:rFonts w:ascii="Arial" w:hAnsi="Arial"/>
                <w:color w:val="000000"/>
                <w:kern w:val="0"/>
                <w:sz w:val="20"/>
                <w:szCs w:val="20"/>
              </w:rPr>
              <w:t>0</w:t>
            </w:r>
          </w:p>
        </w:tc>
        <w:tc>
          <w:tcPr>
            <w:tcW w:w="2380" w:type="dxa"/>
            <w:tcBorders>
              <w:top w:val="nil"/>
              <w:left w:val="nil"/>
              <w:bottom w:val="single" w:color="000000" w:sz="4" w:space="0"/>
              <w:right w:val="single" w:color="000000" w:sz="4" w:space="0"/>
            </w:tcBorders>
            <w:noWrap/>
            <w:vAlign w:val="center"/>
          </w:tcPr>
          <w:p>
            <w:pPr>
              <w:jc w:val="left"/>
              <w:rPr>
                <w:rStyle w:val="12"/>
                <w:rFonts w:ascii="Arial" w:hAnsi="Arial"/>
                <w:color w:val="000000"/>
                <w:kern w:val="0"/>
                <w:sz w:val="20"/>
                <w:szCs w:val="20"/>
              </w:rPr>
            </w:pPr>
            <w:r>
              <w:rPr>
                <w:rStyle w:val="12"/>
                <w:rFonts w:ascii="Arial" w:hAnsi="Arial"/>
                <w:color w:val="000000"/>
                <w:kern w:val="0"/>
                <w:sz w:val="20"/>
                <w:szCs w:val="2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440" w:type="dxa"/>
            <w:tcBorders>
              <w:top w:val="nil"/>
              <w:left w:val="single" w:color="000000" w:sz="4" w:space="0"/>
              <w:bottom w:val="single" w:color="000000" w:sz="4" w:space="0"/>
              <w:right w:val="single" w:color="000000" w:sz="4" w:space="0"/>
            </w:tcBorders>
            <w:noWrap/>
            <w:vAlign w:val="center"/>
          </w:tcPr>
          <w:p>
            <w:pPr>
              <w:jc w:val="left"/>
              <w:rPr>
                <w:rStyle w:val="12"/>
                <w:rFonts w:ascii="宋体" w:hAnsi="宋体"/>
                <w:color w:val="000000"/>
                <w:kern w:val="0"/>
                <w:sz w:val="20"/>
                <w:szCs w:val="20"/>
              </w:rPr>
            </w:pPr>
            <w:r>
              <w:rPr>
                <w:rStyle w:val="12"/>
                <w:rFonts w:ascii="宋体" w:hAnsi="宋体"/>
                <w:color w:val="000000"/>
                <w:kern w:val="0"/>
                <w:sz w:val="20"/>
                <w:szCs w:val="20"/>
              </w:rPr>
              <w:t>其他固定资产原值（C）</w:t>
            </w:r>
          </w:p>
        </w:tc>
        <w:tc>
          <w:tcPr>
            <w:tcW w:w="2380" w:type="dxa"/>
            <w:tcBorders>
              <w:top w:val="nil"/>
              <w:left w:val="nil"/>
              <w:bottom w:val="single" w:color="000000" w:sz="4" w:space="0"/>
              <w:right w:val="single" w:color="000000" w:sz="4" w:space="0"/>
            </w:tcBorders>
            <w:noWrap/>
            <w:vAlign w:val="center"/>
          </w:tcPr>
          <w:p>
            <w:pPr>
              <w:jc w:val="center"/>
              <w:rPr>
                <w:rStyle w:val="12"/>
                <w:rFonts w:ascii="Arial" w:hAnsi="Arial"/>
                <w:color w:val="000000"/>
                <w:kern w:val="0"/>
                <w:sz w:val="20"/>
                <w:szCs w:val="20"/>
              </w:rPr>
            </w:pPr>
            <w:r>
              <w:rPr>
                <w:rStyle w:val="12"/>
                <w:rFonts w:ascii="Arial" w:hAnsi="Arial"/>
                <w:color w:val="000000"/>
                <w:kern w:val="0"/>
                <w:sz w:val="20"/>
                <w:szCs w:val="20"/>
              </w:rPr>
              <w:t>　33112</w:t>
            </w:r>
          </w:p>
        </w:tc>
        <w:tc>
          <w:tcPr>
            <w:tcW w:w="2380" w:type="dxa"/>
            <w:tcBorders>
              <w:top w:val="nil"/>
              <w:left w:val="nil"/>
              <w:bottom w:val="single" w:color="000000" w:sz="4" w:space="0"/>
              <w:right w:val="single" w:color="000000" w:sz="4" w:space="0"/>
            </w:tcBorders>
            <w:noWrap/>
            <w:vAlign w:val="center"/>
          </w:tcPr>
          <w:p>
            <w:pPr>
              <w:jc w:val="center"/>
              <w:rPr>
                <w:rStyle w:val="12"/>
                <w:rFonts w:ascii="Arial" w:hAnsi="Arial"/>
                <w:color w:val="000000"/>
                <w:kern w:val="0"/>
                <w:sz w:val="20"/>
                <w:szCs w:val="20"/>
              </w:rPr>
            </w:pPr>
            <w:r>
              <w:rPr>
                <w:rStyle w:val="12"/>
                <w:rFonts w:ascii="Arial" w:hAnsi="Arial"/>
                <w:color w:val="000000"/>
                <w:kern w:val="0"/>
                <w:sz w:val="20"/>
                <w:szCs w:val="20"/>
              </w:rPr>
              <w:t>3</w:t>
            </w:r>
            <w:r>
              <w:rPr>
                <w:rStyle w:val="12"/>
                <w:rFonts w:hint="eastAsia" w:ascii="Arial" w:hAnsi="Arial"/>
                <w:color w:val="000000"/>
                <w:kern w:val="0"/>
                <w:sz w:val="20"/>
                <w:szCs w:val="20"/>
              </w:rPr>
              <w:t>4582</w:t>
            </w:r>
          </w:p>
        </w:tc>
        <w:tc>
          <w:tcPr>
            <w:tcW w:w="2380" w:type="dxa"/>
            <w:tcBorders>
              <w:top w:val="nil"/>
              <w:left w:val="nil"/>
              <w:bottom w:val="single" w:color="000000" w:sz="4" w:space="0"/>
              <w:right w:val="single" w:color="000000" w:sz="4" w:space="0"/>
            </w:tcBorders>
            <w:noWrap/>
            <w:vAlign w:val="center"/>
          </w:tcPr>
          <w:p>
            <w:pPr>
              <w:jc w:val="left"/>
              <w:rPr>
                <w:rStyle w:val="12"/>
                <w:rFonts w:ascii="Arial" w:hAnsi="Arial"/>
                <w:color w:val="000000"/>
                <w:kern w:val="0"/>
                <w:sz w:val="20"/>
                <w:szCs w:val="20"/>
              </w:rPr>
            </w:pPr>
            <w:r>
              <w:rPr>
                <w:rStyle w:val="12"/>
                <w:rFonts w:hint="eastAsia" w:ascii="Arial" w:hAnsi="Arial"/>
                <w:color w:val="000000"/>
                <w:kern w:val="0"/>
                <w:sz w:val="20"/>
                <w:szCs w:val="20"/>
              </w:rPr>
              <w:t>1470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440" w:type="dxa"/>
            <w:tcBorders>
              <w:top w:val="nil"/>
              <w:left w:val="single" w:color="000000" w:sz="4" w:space="0"/>
              <w:bottom w:val="nil"/>
              <w:right w:val="single" w:color="000000" w:sz="4" w:space="0"/>
            </w:tcBorders>
            <w:shd w:val="clear" w:color="auto" w:fill="FDE9D9"/>
            <w:noWrap/>
            <w:vAlign w:val="center"/>
          </w:tcPr>
          <w:p>
            <w:pPr>
              <w:jc w:val="left"/>
              <w:rPr>
                <w:rStyle w:val="12"/>
                <w:rFonts w:ascii="宋体" w:hAnsi="宋体" w:cs="Arial"/>
                <w:bCs/>
                <w:color w:val="000000"/>
                <w:kern w:val="0"/>
                <w:sz w:val="20"/>
                <w:szCs w:val="20"/>
              </w:rPr>
            </w:pPr>
            <w:r>
              <w:rPr>
                <w:rStyle w:val="12"/>
                <w:rFonts w:ascii="宋体" w:hAnsi="宋体" w:cs="Arial"/>
                <w:bCs/>
                <w:color w:val="000000"/>
                <w:kern w:val="0"/>
                <w:sz w:val="20"/>
                <w:szCs w:val="20"/>
              </w:rPr>
              <w:t>固定资产原值总计（D）</w:t>
            </w:r>
          </w:p>
        </w:tc>
        <w:tc>
          <w:tcPr>
            <w:tcW w:w="2380" w:type="dxa"/>
            <w:tcBorders>
              <w:top w:val="nil"/>
              <w:left w:val="nil"/>
              <w:bottom w:val="nil"/>
              <w:right w:val="single" w:color="000000" w:sz="4" w:space="0"/>
            </w:tcBorders>
            <w:shd w:val="clear" w:color="auto" w:fill="FDE9D9"/>
            <w:noWrap/>
            <w:vAlign w:val="center"/>
          </w:tcPr>
          <w:p>
            <w:pPr>
              <w:jc w:val="center"/>
              <w:rPr>
                <w:rStyle w:val="12"/>
                <w:rFonts w:ascii="Arial" w:hAnsi="Arial"/>
                <w:color w:val="000000"/>
                <w:kern w:val="0"/>
                <w:sz w:val="20"/>
                <w:szCs w:val="20"/>
              </w:rPr>
            </w:pPr>
            <w:r>
              <w:rPr>
                <w:rStyle w:val="12"/>
                <w:rFonts w:ascii="Arial" w:hAnsi="Arial"/>
                <w:color w:val="000000"/>
                <w:kern w:val="0"/>
                <w:sz w:val="20"/>
                <w:szCs w:val="20"/>
              </w:rPr>
              <w:t>33112　</w:t>
            </w:r>
          </w:p>
        </w:tc>
        <w:tc>
          <w:tcPr>
            <w:tcW w:w="2380" w:type="dxa"/>
            <w:tcBorders>
              <w:top w:val="nil"/>
              <w:left w:val="nil"/>
              <w:bottom w:val="nil"/>
              <w:right w:val="single" w:color="000000" w:sz="4" w:space="0"/>
            </w:tcBorders>
            <w:shd w:val="clear" w:color="auto" w:fill="FDE9D9"/>
            <w:noWrap/>
            <w:vAlign w:val="center"/>
          </w:tcPr>
          <w:p>
            <w:pPr>
              <w:jc w:val="center"/>
              <w:rPr>
                <w:rStyle w:val="12"/>
                <w:rFonts w:ascii="Arial" w:hAnsi="Arial"/>
                <w:color w:val="000000"/>
                <w:kern w:val="0"/>
                <w:sz w:val="20"/>
                <w:szCs w:val="20"/>
              </w:rPr>
            </w:pPr>
            <w:r>
              <w:rPr>
                <w:rStyle w:val="12"/>
                <w:rFonts w:hint="eastAsia" w:ascii="Arial" w:hAnsi="Arial"/>
                <w:color w:val="000000"/>
                <w:kern w:val="0"/>
                <w:sz w:val="20"/>
                <w:szCs w:val="20"/>
              </w:rPr>
              <w:t>34582</w:t>
            </w:r>
          </w:p>
        </w:tc>
        <w:tc>
          <w:tcPr>
            <w:tcW w:w="2380" w:type="dxa"/>
            <w:tcBorders>
              <w:top w:val="nil"/>
              <w:left w:val="nil"/>
              <w:bottom w:val="nil"/>
              <w:right w:val="single" w:color="000000" w:sz="4" w:space="0"/>
            </w:tcBorders>
            <w:shd w:val="clear" w:color="auto" w:fill="FDE9D9"/>
            <w:noWrap/>
            <w:vAlign w:val="center"/>
          </w:tcPr>
          <w:p>
            <w:pPr>
              <w:jc w:val="left"/>
              <w:rPr>
                <w:rStyle w:val="12"/>
                <w:rFonts w:ascii="Arial" w:hAnsi="Arial"/>
                <w:color w:val="000000"/>
                <w:kern w:val="0"/>
                <w:sz w:val="20"/>
                <w:szCs w:val="20"/>
              </w:rPr>
            </w:pPr>
            <w:r>
              <w:rPr>
                <w:rStyle w:val="12"/>
                <w:rFonts w:ascii="Arial" w:hAnsi="Arial"/>
                <w:color w:val="000000"/>
                <w:kern w:val="0"/>
                <w:sz w:val="20"/>
                <w:szCs w:val="20"/>
              </w:rPr>
              <w:t>1470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9580" w:type="dxa"/>
            <w:gridSpan w:val="4"/>
            <w:tcBorders>
              <w:top w:val="single" w:color="000000" w:sz="4" w:space="0"/>
              <w:left w:val="single" w:color="000000" w:sz="4" w:space="0"/>
              <w:bottom w:val="nil"/>
              <w:right w:val="single" w:color="000000" w:sz="4" w:space="0"/>
            </w:tcBorders>
            <w:vAlign w:val="center"/>
          </w:tcPr>
          <w:p>
            <w:pPr>
              <w:jc w:val="left"/>
              <w:rPr>
                <w:rStyle w:val="12"/>
                <w:rFonts w:ascii="宋体" w:hAnsi="宋体" w:cs="Arial"/>
                <w:bCs/>
                <w:color w:val="000000"/>
                <w:kern w:val="0"/>
                <w:sz w:val="20"/>
                <w:szCs w:val="20"/>
              </w:rPr>
            </w:pPr>
            <w:r>
              <w:rPr>
                <w:rStyle w:val="12"/>
                <w:rFonts w:ascii="宋体" w:hAnsi="宋体" w:cs="Arial"/>
                <w:bCs/>
                <w:color w:val="000000"/>
                <w:kern w:val="0"/>
                <w:sz w:val="20"/>
                <w:szCs w:val="20"/>
              </w:rPr>
              <w:t>备注：1、固定资产总计（原值）应与201</w:t>
            </w:r>
            <w:r>
              <w:rPr>
                <w:rStyle w:val="12"/>
                <w:rFonts w:hint="eastAsia" w:ascii="宋体" w:hAnsi="宋体" w:cs="Arial"/>
                <w:bCs/>
                <w:color w:val="000000"/>
                <w:kern w:val="0"/>
                <w:sz w:val="20"/>
                <w:szCs w:val="20"/>
              </w:rPr>
              <w:t>8</w:t>
            </w:r>
            <w:r>
              <w:rPr>
                <w:rStyle w:val="12"/>
                <w:rFonts w:ascii="宋体" w:hAnsi="宋体" w:cs="Arial"/>
                <w:bCs/>
                <w:color w:val="000000"/>
                <w:kern w:val="0"/>
                <w:sz w:val="20"/>
                <w:szCs w:val="20"/>
              </w:rPr>
              <w:t>年度决算CS08表资产负债简表中数据一致；车辆资产（原值）和房屋资产（原值）应与201</w:t>
            </w:r>
            <w:r>
              <w:rPr>
                <w:rStyle w:val="12"/>
                <w:rFonts w:hint="eastAsia" w:ascii="宋体" w:hAnsi="宋体" w:cs="Arial"/>
                <w:bCs/>
                <w:color w:val="000000"/>
                <w:kern w:val="0"/>
                <w:sz w:val="20"/>
                <w:szCs w:val="20"/>
              </w:rPr>
              <w:t>8</w:t>
            </w:r>
            <w:r>
              <w:rPr>
                <w:rStyle w:val="12"/>
                <w:rFonts w:ascii="宋体" w:hAnsi="宋体" w:cs="Arial"/>
                <w:bCs/>
                <w:color w:val="000000"/>
                <w:kern w:val="0"/>
                <w:sz w:val="20"/>
                <w:szCs w:val="20"/>
              </w:rPr>
              <w:t>年度决算F01表预算支出相关信息表中数据一致。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9580" w:type="dxa"/>
            <w:gridSpan w:val="4"/>
            <w:tcBorders>
              <w:top w:val="nil"/>
              <w:left w:val="single" w:color="000000" w:sz="4" w:space="0"/>
              <w:bottom w:val="single" w:color="000000" w:sz="4" w:space="0"/>
              <w:right w:val="single" w:color="000000" w:sz="4" w:space="0"/>
            </w:tcBorders>
            <w:noWrap/>
            <w:vAlign w:val="center"/>
          </w:tcPr>
          <w:p>
            <w:pPr>
              <w:jc w:val="left"/>
              <w:rPr>
                <w:rStyle w:val="12"/>
                <w:rFonts w:ascii="Arial" w:hAnsi="Arial" w:cs="Arial"/>
                <w:bCs/>
                <w:color w:val="000000"/>
                <w:kern w:val="0"/>
                <w:sz w:val="20"/>
                <w:szCs w:val="20"/>
              </w:rPr>
            </w:pPr>
            <w:r>
              <w:rPr>
                <w:rStyle w:val="12"/>
                <w:rFonts w:ascii="Arial" w:hAnsi="Arial" w:cs="Arial"/>
                <w:bCs/>
                <w:color w:val="000000"/>
                <w:kern w:val="0"/>
                <w:sz w:val="20"/>
                <w:szCs w:val="20"/>
              </w:rPr>
              <w:t xml:space="preserve">      2</w:t>
            </w:r>
            <w:r>
              <w:rPr>
                <w:rStyle w:val="12"/>
                <w:rFonts w:ascii="宋体" w:hAnsi="宋体" w:cs="Arial"/>
                <w:bCs/>
                <w:color w:val="000000"/>
                <w:kern w:val="0"/>
                <w:sz w:val="20"/>
                <w:szCs w:val="20"/>
              </w:rPr>
              <w:t>、</w:t>
            </w:r>
            <w:r>
              <w:rPr>
                <w:rStyle w:val="12"/>
                <w:rFonts w:ascii="Arial" w:hAnsi="Arial" w:cs="Arial"/>
                <w:bCs/>
                <w:color w:val="000000"/>
                <w:kern w:val="0"/>
                <w:sz w:val="20"/>
                <w:szCs w:val="20"/>
              </w:rPr>
              <w:t>D=A+B+C</w:t>
            </w:r>
          </w:p>
        </w:tc>
      </w:tr>
    </w:tbl>
    <w:p>
      <w:pPr>
        <w:ind w:firstLine="636"/>
        <w:rPr>
          <w:rStyle w:val="12"/>
          <w:rFonts w:ascii="仿宋_GB2312" w:hAnsi="楷体" w:eastAsia="仿宋_GB2312"/>
          <w:sz w:val="32"/>
          <w:szCs w:val="32"/>
        </w:rPr>
      </w:pPr>
    </w:p>
    <w:p>
      <w:pPr>
        <w:ind w:firstLine="636"/>
        <w:rPr>
          <w:rFonts w:ascii="仿宋" w:hAnsi="仿宋" w:eastAsia="仿宋"/>
          <w:sz w:val="32"/>
          <w:szCs w:val="32"/>
        </w:rPr>
      </w:pPr>
      <w:r>
        <w:rPr>
          <w:rStyle w:val="12"/>
          <w:rFonts w:ascii="仿宋_GB2312" w:hAnsi="楷体" w:eastAsia="仿宋_GB2312"/>
          <w:sz w:val="32"/>
          <w:szCs w:val="32"/>
        </w:rPr>
        <w:t>我单位201</w:t>
      </w:r>
      <w:r>
        <w:rPr>
          <w:rStyle w:val="12"/>
          <w:rFonts w:hint="eastAsia" w:ascii="仿宋_GB2312" w:hAnsi="楷体" w:eastAsia="仿宋_GB2312"/>
          <w:sz w:val="32"/>
          <w:szCs w:val="32"/>
        </w:rPr>
        <w:t>8</w:t>
      </w:r>
      <w:r>
        <w:rPr>
          <w:rStyle w:val="12"/>
          <w:rFonts w:ascii="仿宋_GB2312" w:hAnsi="楷体" w:eastAsia="仿宋_GB2312"/>
          <w:sz w:val="32"/>
          <w:szCs w:val="32"/>
        </w:rPr>
        <w:t>年度固定资产总额为33112</w:t>
      </w:r>
      <w:r>
        <w:rPr>
          <w:rStyle w:val="12"/>
          <w:rFonts w:ascii="仿宋_GB2312" w:hAnsi="仿宋"/>
          <w:sz w:val="32"/>
          <w:szCs w:val="32"/>
        </w:rPr>
        <w:t>元，其中车辆资产为0元</w:t>
      </w:r>
      <w:r>
        <w:rPr>
          <w:rStyle w:val="12"/>
          <w:rFonts w:ascii="仿宋_GB2312" w:hAnsi="楷体" w:eastAsia="仿宋_GB2312"/>
          <w:sz w:val="32"/>
          <w:szCs w:val="32"/>
        </w:rPr>
        <w:t>；</w:t>
      </w:r>
      <w:r>
        <w:rPr>
          <w:rStyle w:val="12"/>
          <w:rFonts w:ascii="仿宋_GB2312" w:hAnsi="仿宋"/>
          <w:sz w:val="32"/>
          <w:szCs w:val="32"/>
        </w:rPr>
        <w:t>房屋资产为0元</w:t>
      </w:r>
      <w:r>
        <w:rPr>
          <w:rStyle w:val="12"/>
          <w:rFonts w:ascii="仿宋_GB2312" w:hAnsi="楷体" w:eastAsia="仿宋_GB2312"/>
          <w:sz w:val="32"/>
          <w:szCs w:val="32"/>
        </w:rPr>
        <w:t>；其他固定资产比上年（</w:t>
      </w:r>
      <w:r>
        <w:rPr>
          <w:rStyle w:val="12"/>
          <w:rFonts w:hint="eastAsia" w:ascii="仿宋_GB2312" w:hAnsi="楷体" w:eastAsia="仿宋_GB2312"/>
          <w:sz w:val="32"/>
          <w:szCs w:val="32"/>
        </w:rPr>
        <w:t>减少</w:t>
      </w:r>
      <w:r>
        <w:rPr>
          <w:rStyle w:val="12"/>
          <w:rFonts w:ascii="仿宋_GB2312" w:hAnsi="楷体" w:eastAsia="仿宋_GB2312"/>
          <w:sz w:val="32"/>
          <w:szCs w:val="32"/>
        </w:rPr>
        <w:t>）</w:t>
      </w:r>
      <w:r>
        <w:rPr>
          <w:rStyle w:val="12"/>
          <w:rFonts w:hint="eastAsia" w:ascii="仿宋_GB2312" w:hAnsi="楷体" w:eastAsia="仿宋_GB2312"/>
          <w:sz w:val="32"/>
          <w:szCs w:val="32"/>
        </w:rPr>
        <w:t>1470</w:t>
      </w:r>
      <w:r>
        <w:rPr>
          <w:rStyle w:val="12"/>
          <w:rFonts w:ascii="仿宋_GB2312" w:hAnsi="楷体" w:eastAsia="仿宋_GB2312"/>
          <w:sz w:val="32"/>
          <w:szCs w:val="32"/>
        </w:rPr>
        <w:t>元</w:t>
      </w:r>
      <w:r>
        <w:rPr>
          <w:rStyle w:val="12"/>
          <w:rFonts w:hint="eastAsia" w:ascii="仿宋_GB2312" w:hAnsi="楷体" w:eastAsia="仿宋_GB2312"/>
          <w:sz w:val="32"/>
          <w:szCs w:val="32"/>
        </w:rPr>
        <w:t>，减少原因：固定资产报废</w:t>
      </w:r>
      <w:r>
        <w:rPr>
          <w:rStyle w:val="12"/>
          <w:rFonts w:ascii="仿宋_GB2312" w:hAnsi="楷体" w:eastAsia="仿宋_GB2312"/>
          <w:sz w:val="32"/>
          <w:szCs w:val="32"/>
        </w:rPr>
        <w:t>。</w:t>
      </w:r>
    </w:p>
    <w:p>
      <w:pPr>
        <w:snapToGrid w:val="0"/>
        <w:spacing w:line="360" w:lineRule="auto"/>
        <w:ind w:left="602"/>
        <w:rPr>
          <w:rFonts w:ascii="仿宋_GB2312" w:hAnsi="仿宋_GB2312" w:eastAsia="仿宋_GB2312" w:cs="仿宋_GB2312"/>
          <w:sz w:val="30"/>
          <w:szCs w:val="30"/>
        </w:rPr>
      </w:pPr>
      <w:r>
        <w:rPr>
          <w:rFonts w:hint="eastAsia" w:ascii="黑体" w:hAnsi="黑体" w:eastAsia="黑体" w:cs="黑体"/>
          <w:b/>
          <w:sz w:val="30"/>
          <w:szCs w:val="30"/>
        </w:rPr>
        <w:t>六、财政拨款收入、支出分析。</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color w:val="000000"/>
          <w:sz w:val="30"/>
          <w:szCs w:val="30"/>
        </w:rPr>
        <w:t xml:space="preserve">   本年支出49.481976万元，上年度24.914523万元，比上年增加98.6%，增加原因：（1）投资援建博爱桥15万，增加博爱家园软件建设。</w:t>
      </w:r>
      <w:r>
        <w:rPr>
          <w:rFonts w:hint="eastAsia" w:ascii="仿宋_GB2312" w:hAnsi="仿宋_GB2312" w:eastAsia="仿宋_GB2312" w:cs="仿宋_GB2312"/>
          <w:color w:val="000000"/>
          <w:kern w:val="0"/>
          <w:sz w:val="30"/>
          <w:szCs w:val="30"/>
        </w:rPr>
        <w:t>（2）省市开展“应急救护培训”印刷资料费。（3）购买办公设备费用（</w:t>
      </w:r>
      <w:r>
        <w:rPr>
          <w:rFonts w:hint="eastAsia" w:ascii="仿宋_GB2312" w:hAnsi="仿宋_GB2312" w:eastAsia="仿宋_GB2312" w:cs="仿宋_GB2312"/>
          <w:color w:val="000000"/>
          <w:sz w:val="30"/>
          <w:szCs w:val="30"/>
        </w:rPr>
        <w:t>两个柜子、一套沙发、一套办公桌</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color w:val="000000"/>
          <w:sz w:val="30"/>
          <w:szCs w:val="30"/>
        </w:rPr>
        <w:t>其中：基本支出23.905856万元，上年度21.882523万元 ，增加9.2%，增加原因：职工工资调整；项目支出23.1125万元，上年度支出3.0132万元，增加667%，增加原因：本年度内项目活动较多，去年省市要求任务较少。</w:t>
      </w:r>
    </w:p>
    <w:p>
      <w:pPr>
        <w:snapToGrid w:val="0"/>
        <w:spacing w:line="360" w:lineRule="auto"/>
        <w:ind w:firstLine="602" w:firstLineChars="200"/>
        <w:rPr>
          <w:rFonts w:ascii="黑体" w:hAnsi="黑体" w:eastAsia="黑体" w:cs="黑体"/>
          <w:b/>
          <w:sz w:val="30"/>
          <w:szCs w:val="30"/>
        </w:rPr>
      </w:pPr>
      <w:r>
        <w:rPr>
          <w:rFonts w:hint="eastAsia" w:ascii="黑体" w:hAnsi="黑体" w:eastAsia="黑体" w:cs="黑体"/>
          <w:b/>
          <w:sz w:val="30"/>
          <w:szCs w:val="30"/>
        </w:rPr>
        <w:t>七、年末结转和结余情况</w:t>
      </w:r>
    </w:p>
    <w:p>
      <w:pPr>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color w:val="000000"/>
          <w:sz w:val="30"/>
          <w:szCs w:val="30"/>
        </w:rPr>
        <w:t>年末结转结余：本年度结转结余2.26362万元，上年度0.0188万元，增加2.24482万元，，结转结余原因是预算科目分类不合理。</w:t>
      </w:r>
    </w:p>
    <w:p>
      <w:pPr>
        <w:snapToGrid w:val="0"/>
        <w:spacing w:line="360" w:lineRule="auto"/>
        <w:ind w:firstLine="602" w:firstLineChars="200"/>
        <w:rPr>
          <w:rFonts w:ascii="黑体" w:hAnsi="黑体" w:eastAsia="黑体" w:cs="黑体"/>
          <w:b/>
          <w:bCs/>
          <w:sz w:val="30"/>
          <w:szCs w:val="30"/>
        </w:rPr>
      </w:pPr>
      <w:bookmarkStart w:id="0" w:name="YS060103"/>
      <w:r>
        <w:rPr>
          <w:rFonts w:hint="eastAsia" w:ascii="黑体" w:hAnsi="黑体" w:eastAsia="黑体" w:cs="黑体"/>
          <w:b/>
          <w:bCs/>
          <w:sz w:val="30"/>
          <w:szCs w:val="30"/>
        </w:rPr>
        <w:t>八、资产负债情况分析</w:t>
      </w:r>
    </w:p>
    <w:bookmarkEnd w:id="0"/>
    <w:p>
      <w:pPr>
        <w:snapToGrid w:val="0"/>
        <w:spacing w:line="360" w:lineRule="auto"/>
        <w:ind w:firstLine="480"/>
        <w:rPr>
          <w:rFonts w:ascii="仿宋_GB2312" w:hAnsi="仿宋_GB2312" w:eastAsia="仿宋_GB2312" w:cs="仿宋_GB2312"/>
          <w:sz w:val="30"/>
          <w:szCs w:val="30"/>
        </w:rPr>
      </w:pPr>
      <w:r>
        <w:rPr>
          <w:rFonts w:hint="eastAsia" w:ascii="仿宋_GB2312" w:hAnsi="仿宋_GB2312" w:eastAsia="仿宋_GB2312" w:cs="仿宋_GB2312"/>
          <w:color w:val="000000"/>
          <w:sz w:val="30"/>
          <w:szCs w:val="30"/>
        </w:rPr>
        <w:t>本年度内资产总额5.77482万元，其中：固定资产3.3112万。上年度资产总额3.4770万元，本年度增加66.1%。原因：增加了办公设备。</w:t>
      </w:r>
    </w:p>
    <w:p>
      <w:pPr>
        <w:spacing w:line="360" w:lineRule="auto"/>
        <w:rPr>
          <w:rFonts w:ascii="黑体" w:hAnsi="黑体" w:eastAsia="黑体"/>
          <w:b/>
          <w:sz w:val="30"/>
          <w:szCs w:val="30"/>
        </w:rPr>
      </w:pPr>
      <w:r>
        <w:rPr>
          <w:rFonts w:hint="eastAsia" w:ascii="黑体" w:hAnsi="黑体" w:eastAsia="黑体"/>
          <w:b/>
          <w:sz w:val="30"/>
          <w:szCs w:val="30"/>
        </w:rPr>
        <w:t>第四部分  名词解释</w:t>
      </w:r>
    </w:p>
    <w:p>
      <w:pPr>
        <w:autoSpaceDE w:val="0"/>
        <w:autoSpaceDN w:val="0"/>
        <w:adjustRightInd w:val="0"/>
        <w:spacing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（一）基本支出：指为保障机构正常运转、完成日常</w:t>
      </w:r>
    </w:p>
    <w:p>
      <w:pPr>
        <w:autoSpaceDE w:val="0"/>
        <w:autoSpaceDN w:val="0"/>
        <w:adjustRightInd w:val="0"/>
        <w:spacing w:line="360" w:lineRule="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工作任务而发生的人员支出和公用支出。</w:t>
      </w:r>
    </w:p>
    <w:p>
      <w:pPr>
        <w:autoSpaceDE w:val="0"/>
        <w:autoSpaceDN w:val="0"/>
        <w:adjustRightInd w:val="0"/>
        <w:spacing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（二）项目支出：指在基本支出之外为完成特定行政任</w:t>
      </w:r>
    </w:p>
    <w:p>
      <w:pPr>
        <w:spacing w:line="360" w:lineRule="auto"/>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务和事业发展目标所发生的支出。</w:t>
      </w:r>
    </w:p>
    <w:p>
      <w:pPr>
        <w:autoSpaceDE w:val="0"/>
        <w:autoSpaceDN w:val="0"/>
        <w:adjustRightInd w:val="0"/>
        <w:spacing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三）“三公”经费：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spacing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（四）机关运行经费：指行政单位和参照公务员法管理的事业单位使用一般公共预算安排的基本支出中的日常公用经费支出。</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楷体_GB2312">
    <w:altName w:val="方正楷体_GBK"/>
    <w:panose1 w:val="00000000000000000000"/>
    <w:charset w:val="86"/>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Arial">
    <w:altName w:val="DejaVu Sans"/>
    <w:panose1 w:val="020B0604020202020204"/>
    <w:charset w:val="00"/>
    <w:family w:val="swiss"/>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4</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A14EC"/>
    <w:multiLevelType w:val="singleLevel"/>
    <w:tmpl w:val="586A14E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361"/>
    <w:rsid w:val="00084978"/>
    <w:rsid w:val="0009577C"/>
    <w:rsid w:val="001125B9"/>
    <w:rsid w:val="00123769"/>
    <w:rsid w:val="00125D64"/>
    <w:rsid w:val="0013122F"/>
    <w:rsid w:val="001931B1"/>
    <w:rsid w:val="002640D3"/>
    <w:rsid w:val="002A43D0"/>
    <w:rsid w:val="002C2152"/>
    <w:rsid w:val="00332350"/>
    <w:rsid w:val="00363E2A"/>
    <w:rsid w:val="00530361"/>
    <w:rsid w:val="00552BFB"/>
    <w:rsid w:val="00575A54"/>
    <w:rsid w:val="005D1B27"/>
    <w:rsid w:val="00604684"/>
    <w:rsid w:val="0069691F"/>
    <w:rsid w:val="006C112A"/>
    <w:rsid w:val="006D24A5"/>
    <w:rsid w:val="00737F5A"/>
    <w:rsid w:val="00744368"/>
    <w:rsid w:val="007E3878"/>
    <w:rsid w:val="008510A0"/>
    <w:rsid w:val="00861651"/>
    <w:rsid w:val="00880221"/>
    <w:rsid w:val="008C5A89"/>
    <w:rsid w:val="008E24FF"/>
    <w:rsid w:val="00910F10"/>
    <w:rsid w:val="009C570F"/>
    <w:rsid w:val="009D232E"/>
    <w:rsid w:val="00A665B7"/>
    <w:rsid w:val="00A76357"/>
    <w:rsid w:val="00AB76B6"/>
    <w:rsid w:val="00AC3C22"/>
    <w:rsid w:val="00AE21DD"/>
    <w:rsid w:val="00AF39FB"/>
    <w:rsid w:val="00B2090A"/>
    <w:rsid w:val="00B74104"/>
    <w:rsid w:val="00C6049E"/>
    <w:rsid w:val="00CD2E4F"/>
    <w:rsid w:val="00CE5BA4"/>
    <w:rsid w:val="00D278F0"/>
    <w:rsid w:val="00E0255E"/>
    <w:rsid w:val="00E24128"/>
    <w:rsid w:val="00E24581"/>
    <w:rsid w:val="00E35427"/>
    <w:rsid w:val="00E43FC2"/>
    <w:rsid w:val="00E4713F"/>
    <w:rsid w:val="00ED173B"/>
    <w:rsid w:val="00F32DF7"/>
    <w:rsid w:val="00F60AF7"/>
    <w:rsid w:val="00FF21AB"/>
    <w:rsid w:val="02F14C05"/>
    <w:rsid w:val="06292A8A"/>
    <w:rsid w:val="06357EF4"/>
    <w:rsid w:val="0885415A"/>
    <w:rsid w:val="098E5B70"/>
    <w:rsid w:val="0D55478D"/>
    <w:rsid w:val="113C6DE0"/>
    <w:rsid w:val="131509C9"/>
    <w:rsid w:val="1B9D13D0"/>
    <w:rsid w:val="279B39E8"/>
    <w:rsid w:val="295151D8"/>
    <w:rsid w:val="2E73639B"/>
    <w:rsid w:val="2F336E99"/>
    <w:rsid w:val="33592CE9"/>
    <w:rsid w:val="335D485C"/>
    <w:rsid w:val="338F7A4B"/>
    <w:rsid w:val="35752AC4"/>
    <w:rsid w:val="3BB073EE"/>
    <w:rsid w:val="3C4C1509"/>
    <w:rsid w:val="3F5870CC"/>
    <w:rsid w:val="43DB11B9"/>
    <w:rsid w:val="4690138F"/>
    <w:rsid w:val="472B6835"/>
    <w:rsid w:val="50E15243"/>
    <w:rsid w:val="556F4900"/>
    <w:rsid w:val="59CF2BC9"/>
    <w:rsid w:val="5EA04A18"/>
    <w:rsid w:val="61DA06CC"/>
    <w:rsid w:val="670F7A95"/>
    <w:rsid w:val="69660F74"/>
    <w:rsid w:val="69BD7FF8"/>
    <w:rsid w:val="71596D55"/>
    <w:rsid w:val="74A72C5C"/>
    <w:rsid w:val="786D2CFA"/>
    <w:rsid w:val="E64B2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100" w:beforeAutospacing="1" w:after="100" w:afterAutospacing="1"/>
      <w:jc w:val="left"/>
    </w:pPr>
    <w:rPr>
      <w:rFonts w:ascii="Calibri" w:hAnsi="Calibri"/>
      <w:kern w:val="0"/>
      <w:sz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Hyperlink"/>
    <w:basedOn w:val="7"/>
    <w:qFormat/>
    <w:uiPriority w:val="0"/>
    <w:rPr>
      <w:color w:val="0000FF"/>
      <w:u w:val="none"/>
    </w:rPr>
  </w:style>
  <w:style w:type="character" w:customStyle="1" w:styleId="10">
    <w:name w:val="页眉 Char"/>
    <w:basedOn w:val="7"/>
    <w:link w:val="3"/>
    <w:semiHidden/>
    <w:qFormat/>
    <w:uiPriority w:val="99"/>
    <w:rPr>
      <w:sz w:val="18"/>
      <w:szCs w:val="18"/>
    </w:rPr>
  </w:style>
  <w:style w:type="character" w:customStyle="1" w:styleId="11">
    <w:name w:val="页脚 Char"/>
    <w:basedOn w:val="7"/>
    <w:link w:val="2"/>
    <w:semiHidden/>
    <w:qFormat/>
    <w:uiPriority w:val="99"/>
    <w:rPr>
      <w:sz w:val="18"/>
      <w:szCs w:val="18"/>
    </w:r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590</Words>
  <Characters>3369</Characters>
  <Lines>28</Lines>
  <Paragraphs>7</Paragraphs>
  <TotalTime>50</TotalTime>
  <ScaleCrop>false</ScaleCrop>
  <LinksUpToDate>false</LinksUpToDate>
  <CharactersWithSpaces>3952</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2019-03-27T09:34:00Z</dcterms:created>
  <dc:creator>郜汝敬 </dc:creator>
  <cp:lastModifiedBy>user</cp:lastModifiedBy>
  <cp:lastPrinted>2019-03-27T17:18:00Z</cp:lastPrinted>
  <dcterms:modified xsi:type="dcterms:W3CDTF">2024-01-11T16:45:14Z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