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CB" w:rsidRDefault="00164FCB">
      <w:pPr>
        <w:jc w:val="center"/>
        <w:rPr>
          <w:rFonts w:ascii="仿宋" w:eastAsia="仿宋" w:hAnsi="仿宋"/>
          <w:sz w:val="32"/>
          <w:szCs w:val="32"/>
        </w:rPr>
      </w:pPr>
    </w:p>
    <w:p w:rsidR="00164FCB" w:rsidRDefault="00872836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平顺县财政局</w:t>
      </w:r>
    </w:p>
    <w:p w:rsidR="00164FCB" w:rsidRDefault="00872836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2018</w:t>
      </w:r>
      <w:r>
        <w:rPr>
          <w:rFonts w:ascii="宋体" w:hAnsi="宋体" w:cs="宋体" w:hint="eastAsia"/>
          <w:b/>
          <w:bCs/>
          <w:sz w:val="44"/>
          <w:szCs w:val="44"/>
        </w:rPr>
        <w:t>年度部门决算</w:t>
      </w:r>
    </w:p>
    <w:p w:rsidR="00164FCB" w:rsidRDefault="00164FCB">
      <w:pPr>
        <w:rPr>
          <w:rFonts w:ascii="仿宋_GB2312" w:eastAsia="仿宋_GB2312" w:hAnsi="仿宋_GB2312" w:cs="仿宋_GB2312"/>
          <w:sz w:val="32"/>
          <w:szCs w:val="32"/>
        </w:rPr>
      </w:pPr>
    </w:p>
    <w:p w:rsidR="00164FCB" w:rsidRDefault="00872836">
      <w:pPr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第一部分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概况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一、本部门职责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、贯彻执行国家财政、税收、宏观经济等各项方针政策，参与拟订全县各项宏观经济政策，拟订和执行全县财政、税收的发展战略、方针政策、中长期规划、改革方案及其他有关政策；提出运用财税政策实施宏观调控和综合平衡社会财力的建议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、贯彻执行国家财政、财务、会计管理及行政事业单位国有资产管理的法律、法规及各项方针政策，拟订全县财政、财务、会计管理及行政事业单位国有资产管理等基础管理的规章制度。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、编制年度全县预决算草案并组织执行；受县人民政府委托，向县人民代表大会报告全县预算及其执行情况，向县人大常委会报告决算；管理县级各项财政收入，管理县级预算外资金和财政专户；管理有关政府性基金；深化部门预算改革，组织制定经费开支标准、定额，负责审核批复部门（单位）的年度预决算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</w:t>
      </w:r>
      <w:r>
        <w:rPr>
          <w:rFonts w:ascii="仿宋" w:eastAsia="仿宋" w:hAnsi="仿宋" w:cs="仿宋_GB2312" w:hint="eastAsia"/>
          <w:sz w:val="30"/>
          <w:szCs w:val="30"/>
        </w:rPr>
        <w:t>、确定全县财政税收收入计划。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、负责政府非税收入管理，负责政府性基金管理及预算编制，按规定管理行政事业性收费，管理财政票据。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</w:t>
      </w:r>
      <w:r>
        <w:rPr>
          <w:rFonts w:ascii="仿宋" w:eastAsia="仿宋" w:hAnsi="仿宋" w:cs="仿宋_GB2312" w:hint="eastAsia"/>
          <w:sz w:val="30"/>
          <w:szCs w:val="30"/>
        </w:rPr>
        <w:t>、贯彻执行国库管理制度、国库集中收付制度，推行县级</w:t>
      </w:r>
      <w:r>
        <w:rPr>
          <w:rFonts w:ascii="仿宋" w:eastAsia="仿宋" w:hAnsi="仿宋" w:cs="仿宋_GB2312" w:hint="eastAsia"/>
          <w:sz w:val="30"/>
          <w:szCs w:val="30"/>
        </w:rPr>
        <w:lastRenderedPageBreak/>
        <w:t>财政国库集中收付制度并进行监督管理。负责审核和编制</w:t>
      </w:r>
      <w:r>
        <w:rPr>
          <w:rFonts w:ascii="仿宋" w:eastAsia="仿宋" w:hAnsi="仿宋" w:cs="仿宋_GB2312" w:hint="eastAsia"/>
          <w:sz w:val="30"/>
          <w:szCs w:val="30"/>
        </w:rPr>
        <w:t>汇总全县财政总决算和部门决算，负责管理县本级财政银行账户和县级预算单位银行账户。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7</w:t>
      </w:r>
      <w:r>
        <w:rPr>
          <w:rFonts w:ascii="仿宋" w:eastAsia="仿宋" w:hAnsi="仿宋" w:cs="仿宋_GB2312" w:hint="eastAsia"/>
          <w:sz w:val="30"/>
          <w:szCs w:val="30"/>
        </w:rPr>
        <w:t>、贯彻执行国家有关政府采购的政策，拟订和执行全县政府采购政策，负责管理和监督政府采购工作；管理县级财政公共支出；根据国家规定的开支标准和支出政策，制定需要全县统一规定的开支标准和支出政策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、拟订并组织实施全县行政事业单位国有资产及其收益管理规章制度，建立行政事业单位国有资产配置、整合、调剂、共享、共用机制，负责管理县级行政事业单位国有资产及其收益，审核批复县级行政事业单位国有资产配置、处置、产权界定等事项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9</w:t>
      </w:r>
      <w:r>
        <w:rPr>
          <w:rFonts w:ascii="仿宋" w:eastAsia="仿宋" w:hAnsi="仿宋" w:cs="仿宋_GB2312" w:hint="eastAsia"/>
          <w:sz w:val="30"/>
          <w:szCs w:val="30"/>
        </w:rPr>
        <w:t>、办理和监</w:t>
      </w:r>
      <w:r>
        <w:rPr>
          <w:rFonts w:ascii="仿宋" w:eastAsia="仿宋" w:hAnsi="仿宋" w:cs="仿宋_GB2312" w:hint="eastAsia"/>
          <w:sz w:val="30"/>
          <w:szCs w:val="30"/>
        </w:rPr>
        <w:t>督县级财政的经济发展支出、县级政府性投资项目的财政拨款，参与拟订全县建设投资的有关政策，拟订基本建设财务制度，负责有关政策性补贴和专项储备资金财政管理工作。负责全县农业综合开发工作，指导和推动全县农村综合改革工作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10</w:t>
      </w:r>
      <w:r>
        <w:rPr>
          <w:rFonts w:ascii="仿宋" w:eastAsia="仿宋" w:hAnsi="仿宋" w:cs="仿宋_GB2312" w:hint="eastAsia"/>
          <w:sz w:val="30"/>
          <w:szCs w:val="30"/>
        </w:rPr>
        <w:t>、拟订全县社会保障资金的财务管理制度；会同有关部门管理县级财政社会保障和就业及医疗卫生支出，组织实施对社会保障资金使用的财政监督。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11</w:t>
      </w:r>
      <w:r>
        <w:rPr>
          <w:rFonts w:ascii="仿宋" w:eastAsia="仿宋" w:hAnsi="仿宋" w:cs="仿宋_GB2312" w:hint="eastAsia"/>
          <w:sz w:val="30"/>
          <w:szCs w:val="30"/>
        </w:rPr>
        <w:t>、贯彻执行国家关于国内债务和政府外债管理的各项方针、政策、规章制度和管理方法；参与外国政府贷（赠）款的管理、</w:t>
      </w:r>
      <w:r>
        <w:rPr>
          <w:rFonts w:ascii="仿宋" w:eastAsia="仿宋" w:hAnsi="仿宋" w:cs="仿宋_GB2312" w:hint="eastAsia"/>
          <w:sz w:val="30"/>
          <w:szCs w:val="30"/>
        </w:rPr>
        <w:lastRenderedPageBreak/>
        <w:t>监督工作；负责地方彩票市场的监管工作。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12</w:t>
      </w:r>
      <w:r>
        <w:rPr>
          <w:rFonts w:ascii="仿宋" w:eastAsia="仿宋" w:hAnsi="仿宋" w:cs="仿宋_GB2312" w:hint="eastAsia"/>
          <w:sz w:val="30"/>
          <w:szCs w:val="30"/>
        </w:rPr>
        <w:t>、管</w:t>
      </w:r>
      <w:r>
        <w:rPr>
          <w:rFonts w:ascii="仿宋" w:eastAsia="仿宋" w:hAnsi="仿宋" w:cs="仿宋_GB2312" w:hint="eastAsia"/>
          <w:sz w:val="30"/>
          <w:szCs w:val="30"/>
        </w:rPr>
        <w:t>理和指导全县会计工作；监督和规范会计行为，监督执行会计规章制度《企业会计准则》，监督执行政府总预算、行政和事业单位及分行业制度；指导全县注册会计师和会计师事务所；指导和管理全县社会审计。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13</w:t>
      </w:r>
      <w:r>
        <w:rPr>
          <w:rFonts w:ascii="仿宋" w:eastAsia="仿宋" w:hAnsi="仿宋" w:cs="仿宋_GB2312" w:hint="eastAsia"/>
          <w:sz w:val="30"/>
          <w:szCs w:val="30"/>
        </w:rPr>
        <w:t>、监督财税方针、政策、法律、法规的执行情况，检查、反映财政收支管理中的重大问题；提出加强财政管理的政策建议。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14</w:t>
      </w:r>
      <w:r>
        <w:rPr>
          <w:rFonts w:ascii="仿宋" w:eastAsia="仿宋" w:hAnsi="仿宋" w:cs="仿宋_GB2312" w:hint="eastAsia"/>
          <w:sz w:val="30"/>
          <w:szCs w:val="30"/>
        </w:rPr>
        <w:t>、制定全县财政科学研究和财政教育规划；组织全县财政人才培训；负责财政信息和财政宣传工作。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15</w:t>
      </w:r>
      <w:r>
        <w:rPr>
          <w:rFonts w:ascii="仿宋" w:eastAsia="仿宋" w:hAnsi="仿宋" w:cs="仿宋_GB2312" w:hint="eastAsia"/>
          <w:sz w:val="30"/>
          <w:szCs w:val="30"/>
        </w:rPr>
        <w:t>、承担县人民政府交办的其他事项。</w:t>
      </w:r>
    </w:p>
    <w:p w:rsidR="00164FCB" w:rsidRDefault="00872836">
      <w:pPr>
        <w:ind w:firstLineChars="196" w:firstLine="590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二、人员编制及内设机构：</w:t>
      </w:r>
    </w:p>
    <w:p w:rsidR="00164FCB" w:rsidRDefault="00872836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1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人员编制：</w:t>
      </w:r>
      <w:r>
        <w:rPr>
          <w:rFonts w:ascii="仿宋" w:eastAsia="仿宋" w:hAnsi="仿宋" w:cs="仿宋_GB2312" w:hint="eastAsia"/>
          <w:sz w:val="30"/>
          <w:szCs w:val="30"/>
        </w:rPr>
        <w:t>我单位目前共有人员编制名（其中</w:t>
      </w:r>
      <w:r>
        <w:rPr>
          <w:rFonts w:ascii="仿宋" w:eastAsia="仿宋" w:hAnsi="仿宋" w:cs="仿宋_GB2312" w:hint="eastAsia"/>
          <w:sz w:val="30"/>
          <w:szCs w:val="30"/>
        </w:rPr>
        <w:t>行政编制</w:t>
      </w:r>
      <w:r>
        <w:rPr>
          <w:rFonts w:ascii="仿宋" w:eastAsia="仿宋" w:hAnsi="仿宋" w:cs="仿宋_GB2312" w:hint="eastAsia"/>
          <w:sz w:val="30"/>
          <w:szCs w:val="30"/>
        </w:rPr>
        <w:t>15</w:t>
      </w:r>
      <w:r>
        <w:rPr>
          <w:rFonts w:ascii="仿宋" w:eastAsia="仿宋" w:hAnsi="仿宋" w:cs="仿宋_GB2312" w:hint="eastAsia"/>
          <w:sz w:val="30"/>
          <w:szCs w:val="30"/>
        </w:rPr>
        <w:t>名、行政工勤编制</w:t>
      </w: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名、事业编制</w:t>
      </w:r>
      <w:r>
        <w:rPr>
          <w:rFonts w:ascii="仿宋" w:eastAsia="仿宋" w:hAnsi="仿宋" w:cs="仿宋_GB2312" w:hint="eastAsia"/>
          <w:sz w:val="30"/>
          <w:szCs w:val="30"/>
        </w:rPr>
        <w:t>54</w:t>
      </w:r>
      <w:r>
        <w:rPr>
          <w:rFonts w:ascii="仿宋" w:eastAsia="仿宋" w:hAnsi="仿宋" w:cs="仿宋_GB2312" w:hint="eastAsia"/>
          <w:sz w:val="30"/>
          <w:szCs w:val="30"/>
        </w:rPr>
        <w:t>名），目前实有在职人员</w:t>
      </w:r>
      <w:r>
        <w:rPr>
          <w:rFonts w:ascii="仿宋" w:eastAsia="仿宋" w:hAnsi="仿宋" w:cs="仿宋_GB2312" w:hint="eastAsia"/>
          <w:sz w:val="30"/>
          <w:szCs w:val="30"/>
        </w:rPr>
        <w:t>60</w:t>
      </w:r>
      <w:r>
        <w:rPr>
          <w:rFonts w:ascii="仿宋" w:eastAsia="仿宋" w:hAnsi="仿宋" w:cs="仿宋_GB2312" w:hint="eastAsia"/>
          <w:sz w:val="30"/>
          <w:szCs w:val="30"/>
        </w:rPr>
        <w:t>名，退休人员</w:t>
      </w:r>
      <w:r>
        <w:rPr>
          <w:rFonts w:ascii="仿宋" w:eastAsia="仿宋" w:hAnsi="仿宋" w:cs="仿宋_GB2312" w:hint="eastAsia"/>
          <w:sz w:val="30"/>
          <w:szCs w:val="30"/>
        </w:rPr>
        <w:t>24</w:t>
      </w:r>
      <w:r>
        <w:rPr>
          <w:rFonts w:ascii="仿宋" w:eastAsia="仿宋" w:hAnsi="仿宋" w:cs="仿宋_GB2312" w:hint="eastAsia"/>
          <w:sz w:val="30"/>
          <w:szCs w:val="30"/>
        </w:rPr>
        <w:t>名。</w:t>
      </w:r>
    </w:p>
    <w:p w:rsidR="00164FCB" w:rsidRDefault="00872836">
      <w:pPr>
        <w:ind w:firstLine="600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内设机构：</w:t>
      </w:r>
      <w:r>
        <w:rPr>
          <w:rFonts w:ascii="仿宋" w:eastAsia="仿宋" w:hAnsi="仿宋" w:cs="仿宋_GB2312" w:hint="eastAsia"/>
          <w:sz w:val="30"/>
          <w:szCs w:val="30"/>
        </w:rPr>
        <w:t>共</w:t>
      </w:r>
      <w:r>
        <w:rPr>
          <w:rFonts w:ascii="仿宋" w:eastAsia="仿宋" w:hAnsi="仿宋" w:cs="仿宋_GB2312" w:hint="eastAsia"/>
          <w:sz w:val="30"/>
          <w:szCs w:val="30"/>
        </w:rPr>
        <w:t>20</w:t>
      </w:r>
      <w:r>
        <w:rPr>
          <w:rFonts w:ascii="仿宋" w:eastAsia="仿宋" w:hAnsi="仿宋" w:cs="仿宋_GB2312" w:hint="eastAsia"/>
          <w:sz w:val="30"/>
          <w:szCs w:val="30"/>
        </w:rPr>
        <w:t>个，分别是：综合</w:t>
      </w:r>
      <w:r>
        <w:rPr>
          <w:rFonts w:ascii="仿宋" w:eastAsia="仿宋" w:hAnsi="仿宋" w:cs="仿宋_GB2312" w:hint="eastAsia"/>
          <w:bCs/>
          <w:sz w:val="30"/>
          <w:szCs w:val="30"/>
        </w:rPr>
        <w:t>办公室、预算股、国库股、行政政法股、教科文股、经济建设股、农财股、社保股、企业股、会计股、采购办、国有资产管理股、监督股、预算绩效管理股、农业综合开发办公室、收费管理中心、国库集中支付中心、政府采购中心、信息网络中心、道路交通事故社会救助基金管理中心。</w:t>
      </w:r>
    </w:p>
    <w:p w:rsidR="00164FCB" w:rsidRDefault="00872836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第二部分</w:t>
      </w:r>
      <w:r>
        <w:rPr>
          <w:rFonts w:ascii="仿宋" w:eastAsia="仿宋" w:hAnsi="仿宋" w:hint="eastAsia"/>
          <w:b/>
          <w:sz w:val="30"/>
          <w:szCs w:val="30"/>
        </w:rPr>
        <w:t xml:space="preserve">  2018</w:t>
      </w:r>
      <w:r>
        <w:rPr>
          <w:rFonts w:ascii="仿宋" w:eastAsia="仿宋" w:hAnsi="仿宋" w:hint="eastAsia"/>
          <w:b/>
          <w:sz w:val="30"/>
          <w:szCs w:val="30"/>
        </w:rPr>
        <w:t>年度部门决算报表</w:t>
      </w:r>
    </w:p>
    <w:p w:rsidR="00164FCB" w:rsidRDefault="00872836">
      <w:pPr>
        <w:spacing w:line="560" w:lineRule="exact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一、部门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年收入支出决算表</w:t>
      </w:r>
    </w:p>
    <w:p w:rsidR="00164FCB" w:rsidRDefault="00872836">
      <w:pPr>
        <w:spacing w:line="560" w:lineRule="exact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二、部门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年收入决算表</w:t>
      </w:r>
    </w:p>
    <w:p w:rsidR="00164FCB" w:rsidRDefault="00872836">
      <w:pPr>
        <w:spacing w:line="560" w:lineRule="exact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三、部门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年支出决算表</w:t>
      </w:r>
    </w:p>
    <w:p w:rsidR="00164FCB" w:rsidRDefault="00872836">
      <w:pPr>
        <w:spacing w:line="560" w:lineRule="exact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四、部门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年财政拨款收入支出决算总表</w:t>
      </w:r>
    </w:p>
    <w:p w:rsidR="00164FCB" w:rsidRDefault="00872836">
      <w:pPr>
        <w:spacing w:line="560" w:lineRule="exact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五、部门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年一般公共拨款收入支出决算表</w:t>
      </w:r>
    </w:p>
    <w:p w:rsidR="00164FCB" w:rsidRDefault="00872836">
      <w:pPr>
        <w:spacing w:line="560" w:lineRule="exact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六、部门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年一般公共拨款“三公”经费支出决算表</w:t>
      </w:r>
    </w:p>
    <w:p w:rsidR="00164FCB" w:rsidRDefault="00872836">
      <w:pPr>
        <w:spacing w:line="560" w:lineRule="exact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七、部门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年政府性基金预算财政性收入支出决算表</w:t>
      </w:r>
    </w:p>
    <w:p w:rsidR="00164FCB" w:rsidRDefault="00872836">
      <w:pPr>
        <w:spacing w:line="560" w:lineRule="exact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八、部门决算公开相关信息统计表</w:t>
      </w:r>
    </w:p>
    <w:p w:rsidR="00164FCB" w:rsidRDefault="00872836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第三部分</w:t>
      </w:r>
      <w:r>
        <w:rPr>
          <w:rFonts w:ascii="仿宋" w:eastAsia="仿宋" w:hAnsi="仿宋" w:hint="eastAsia"/>
          <w:b/>
          <w:sz w:val="30"/>
          <w:szCs w:val="30"/>
        </w:rPr>
        <w:t xml:space="preserve">  2018</w:t>
      </w:r>
      <w:r>
        <w:rPr>
          <w:rFonts w:ascii="仿宋" w:eastAsia="仿宋" w:hAnsi="仿宋" w:hint="eastAsia"/>
          <w:b/>
          <w:sz w:val="30"/>
          <w:szCs w:val="30"/>
        </w:rPr>
        <w:t>年度部门决算情况说明</w:t>
      </w:r>
    </w:p>
    <w:p w:rsidR="00164FCB" w:rsidRDefault="00872836">
      <w:pPr>
        <w:ind w:firstLine="636"/>
        <w:rPr>
          <w:rFonts w:ascii="仿宋" w:eastAsia="仿宋" w:hAnsi="仿宋" w:cs="黑体"/>
          <w:b/>
          <w:bCs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sz w:val="30"/>
          <w:szCs w:val="30"/>
        </w:rPr>
        <w:t>一、</w:t>
      </w:r>
      <w:r>
        <w:rPr>
          <w:rFonts w:ascii="仿宋" w:eastAsia="仿宋" w:hAnsi="仿宋" w:cs="黑体" w:hint="eastAsia"/>
          <w:b/>
          <w:bCs/>
          <w:sz w:val="30"/>
          <w:szCs w:val="30"/>
        </w:rPr>
        <w:t>2018</w:t>
      </w:r>
      <w:r>
        <w:rPr>
          <w:rFonts w:ascii="仿宋" w:eastAsia="仿宋" w:hAnsi="仿宋" w:cs="黑体" w:hint="eastAsia"/>
          <w:b/>
          <w:bCs/>
          <w:sz w:val="30"/>
          <w:szCs w:val="30"/>
        </w:rPr>
        <w:t>年度部门预算数据变动情况及原因</w:t>
      </w:r>
    </w:p>
    <w:p w:rsidR="00164FCB" w:rsidRDefault="00872836">
      <w:pPr>
        <w:snapToGrid w:val="0"/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（一）收入支出预算安排情况。</w:t>
      </w:r>
    </w:p>
    <w:p w:rsidR="00164FCB" w:rsidRDefault="00872836">
      <w:pPr>
        <w:snapToGrid w:val="0"/>
        <w:spacing w:line="360" w:lineRule="auto"/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本年度预算安排</w:t>
      </w:r>
      <w:r>
        <w:rPr>
          <w:rFonts w:ascii="仿宋" w:eastAsia="仿宋" w:hAnsi="仿宋" w:hint="eastAsia"/>
          <w:sz w:val="30"/>
          <w:szCs w:val="30"/>
        </w:rPr>
        <w:t>1261.55</w:t>
      </w:r>
      <w:r>
        <w:rPr>
          <w:rFonts w:ascii="仿宋" w:eastAsia="仿宋" w:hAnsi="仿宋" w:hint="eastAsia"/>
          <w:sz w:val="30"/>
          <w:szCs w:val="30"/>
        </w:rPr>
        <w:t>万元，上年度预算</w:t>
      </w:r>
      <w:r>
        <w:rPr>
          <w:rFonts w:ascii="仿宋" w:eastAsia="仿宋" w:hAnsi="仿宋" w:hint="eastAsia"/>
          <w:sz w:val="30"/>
          <w:szCs w:val="30"/>
        </w:rPr>
        <w:t>1086.29</w:t>
      </w:r>
      <w:r>
        <w:rPr>
          <w:rFonts w:ascii="仿宋" w:eastAsia="仿宋" w:hAnsi="仿宋" w:hint="eastAsia"/>
          <w:sz w:val="30"/>
          <w:szCs w:val="30"/>
        </w:rPr>
        <w:t>万元，比上年度增加</w:t>
      </w:r>
      <w:r>
        <w:rPr>
          <w:rFonts w:ascii="仿宋" w:eastAsia="仿宋" w:hAnsi="仿宋" w:hint="eastAsia"/>
          <w:sz w:val="30"/>
          <w:szCs w:val="30"/>
        </w:rPr>
        <w:t>16.13%</w:t>
      </w:r>
      <w:r>
        <w:rPr>
          <w:rFonts w:ascii="仿宋" w:eastAsia="仿宋" w:hAnsi="仿宋" w:hint="eastAsia"/>
          <w:sz w:val="30"/>
          <w:szCs w:val="30"/>
        </w:rPr>
        <w:t>，增加原因：本年度职工工资调整，并补发上年度应发</w:t>
      </w:r>
      <w:r>
        <w:rPr>
          <w:rFonts w:ascii="仿宋" w:eastAsia="仿宋" w:hAnsi="仿宋" w:hint="eastAsia"/>
          <w:sz w:val="30"/>
          <w:szCs w:val="30"/>
        </w:rPr>
        <w:t>工资。本年度调整了预算</w:t>
      </w:r>
      <w:r>
        <w:rPr>
          <w:rFonts w:ascii="仿宋" w:eastAsia="仿宋" w:hAnsi="仿宋" w:hint="eastAsia"/>
          <w:sz w:val="30"/>
          <w:szCs w:val="30"/>
        </w:rPr>
        <w:t>989.45</w:t>
      </w:r>
      <w:r>
        <w:rPr>
          <w:rFonts w:ascii="仿宋" w:eastAsia="仿宋" w:hAnsi="仿宋" w:hint="eastAsia"/>
          <w:sz w:val="30"/>
          <w:szCs w:val="30"/>
        </w:rPr>
        <w:t>万元，调整原因：本年度在职职工工资增加并补发了上年度应发工资；新增加了工会经费；单位经费来源</w:t>
      </w:r>
      <w:r>
        <w:rPr>
          <w:rFonts w:ascii="仿宋" w:eastAsia="仿宋" w:hAnsi="仿宋" w:cs="仿宋_GB2312" w:hint="eastAsia"/>
          <w:sz w:val="30"/>
          <w:szCs w:val="30"/>
        </w:rPr>
        <w:t>:</w:t>
      </w:r>
      <w:r>
        <w:rPr>
          <w:rFonts w:ascii="仿宋" w:eastAsia="仿宋" w:hAnsi="仿宋" w:hint="eastAsia"/>
          <w:sz w:val="30"/>
          <w:szCs w:val="30"/>
        </w:rPr>
        <w:t>向县财政申请拨付。</w:t>
      </w:r>
    </w:p>
    <w:p w:rsidR="00164FCB" w:rsidRDefault="00872836">
      <w:pPr>
        <w:snapToGrid w:val="0"/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（二）收入支出预算执行情况。</w:t>
      </w:r>
    </w:p>
    <w:p w:rsidR="00164FCB" w:rsidRDefault="00872836">
      <w:pPr>
        <w:snapToGrid w:val="0"/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．收入支出与预算对比分析。</w:t>
      </w:r>
    </w:p>
    <w:p w:rsidR="00164FCB" w:rsidRDefault="00872836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）本年度预算对比</w:t>
      </w:r>
    </w:p>
    <w:tbl>
      <w:tblPr>
        <w:tblStyle w:val="a5"/>
        <w:tblW w:w="8780" w:type="dxa"/>
        <w:tblLayout w:type="fixed"/>
        <w:tblLook w:val="04A0"/>
      </w:tblPr>
      <w:tblGrid>
        <w:gridCol w:w="3045"/>
        <w:gridCol w:w="1577"/>
        <w:gridCol w:w="1638"/>
        <w:gridCol w:w="2520"/>
      </w:tblGrid>
      <w:tr w:rsidR="00164FCB">
        <w:trPr>
          <w:trHeight w:val="744"/>
        </w:trPr>
        <w:tc>
          <w:tcPr>
            <w:tcW w:w="3045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目</w:t>
            </w:r>
          </w:p>
        </w:tc>
        <w:tc>
          <w:tcPr>
            <w:tcW w:w="1577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算</w:t>
            </w:r>
          </w:p>
        </w:tc>
        <w:tc>
          <w:tcPr>
            <w:tcW w:w="1638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算</w:t>
            </w:r>
          </w:p>
        </w:tc>
        <w:tc>
          <w:tcPr>
            <w:tcW w:w="2520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因</w:t>
            </w:r>
          </w:p>
        </w:tc>
      </w:tr>
      <w:tr w:rsidR="00164FCB">
        <w:trPr>
          <w:trHeight w:val="1690"/>
        </w:trPr>
        <w:tc>
          <w:tcPr>
            <w:tcW w:w="3045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一般公共服务支出</w:t>
            </w:r>
          </w:p>
        </w:tc>
        <w:tc>
          <w:tcPr>
            <w:tcW w:w="1577" w:type="dxa"/>
            <w:vAlign w:val="center"/>
          </w:tcPr>
          <w:p w:rsidR="00164FCB" w:rsidRDefault="008728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12615503</w:t>
            </w:r>
          </w:p>
        </w:tc>
        <w:tc>
          <w:tcPr>
            <w:tcW w:w="1638" w:type="dxa"/>
            <w:vAlign w:val="center"/>
          </w:tcPr>
          <w:p w:rsidR="00164FCB" w:rsidRDefault="00872836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9894586.68</w:t>
            </w:r>
          </w:p>
        </w:tc>
        <w:tc>
          <w:tcPr>
            <w:tcW w:w="2520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工资调整增加，业务增加，预算调整增加</w:t>
            </w:r>
          </w:p>
        </w:tc>
      </w:tr>
    </w:tbl>
    <w:p w:rsidR="00164FCB" w:rsidRDefault="00164FCB">
      <w:pPr>
        <w:snapToGrid w:val="0"/>
        <w:spacing w:line="360" w:lineRule="auto"/>
        <w:ind w:firstLineChars="100" w:firstLine="300"/>
        <w:rPr>
          <w:rFonts w:ascii="仿宋" w:eastAsia="仿宋" w:hAnsi="仿宋"/>
          <w:sz w:val="30"/>
          <w:szCs w:val="30"/>
        </w:rPr>
      </w:pPr>
    </w:p>
    <w:p w:rsidR="00164FCB" w:rsidRDefault="00872836">
      <w:pPr>
        <w:snapToGrid w:val="0"/>
        <w:spacing w:line="360" w:lineRule="auto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）本年度支出对比。</w:t>
      </w:r>
    </w:p>
    <w:tbl>
      <w:tblPr>
        <w:tblStyle w:val="a5"/>
        <w:tblW w:w="8522" w:type="dxa"/>
        <w:tblLayout w:type="fixed"/>
        <w:tblLook w:val="04A0"/>
      </w:tblPr>
      <w:tblGrid>
        <w:gridCol w:w="2956"/>
        <w:gridCol w:w="1530"/>
        <w:gridCol w:w="1590"/>
        <w:gridCol w:w="2446"/>
      </w:tblGrid>
      <w:tr w:rsidR="00164FCB">
        <w:tc>
          <w:tcPr>
            <w:tcW w:w="2956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科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目</w:t>
            </w:r>
          </w:p>
        </w:tc>
        <w:tc>
          <w:tcPr>
            <w:tcW w:w="1530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算</w:t>
            </w:r>
          </w:p>
        </w:tc>
        <w:tc>
          <w:tcPr>
            <w:tcW w:w="1590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算</w:t>
            </w:r>
          </w:p>
        </w:tc>
        <w:tc>
          <w:tcPr>
            <w:tcW w:w="2446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因</w:t>
            </w:r>
          </w:p>
        </w:tc>
      </w:tr>
      <w:tr w:rsidR="00164FCB">
        <w:tc>
          <w:tcPr>
            <w:tcW w:w="2956" w:type="dxa"/>
          </w:tcPr>
          <w:p w:rsidR="00164FCB" w:rsidRDefault="00164FCB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一般公共服务支出</w:t>
            </w:r>
          </w:p>
        </w:tc>
        <w:tc>
          <w:tcPr>
            <w:tcW w:w="1530" w:type="dxa"/>
            <w:vAlign w:val="center"/>
          </w:tcPr>
          <w:p w:rsidR="00164FCB" w:rsidRDefault="00164FC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164FCB" w:rsidRDefault="00872836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10699886</w:t>
            </w:r>
          </w:p>
        </w:tc>
        <w:tc>
          <w:tcPr>
            <w:tcW w:w="1590" w:type="dxa"/>
            <w:vAlign w:val="center"/>
          </w:tcPr>
          <w:p w:rsidR="00164FCB" w:rsidRDefault="00164FC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  <w:p w:rsidR="00164FCB" w:rsidRDefault="00872836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9351981.81</w:t>
            </w:r>
          </w:p>
        </w:tc>
        <w:tc>
          <w:tcPr>
            <w:tcW w:w="2446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工资调整增加，增加工会会费，决算增加</w:t>
            </w:r>
          </w:p>
        </w:tc>
      </w:tr>
      <w:tr w:rsidR="00164FCB">
        <w:trPr>
          <w:trHeight w:val="610"/>
        </w:trPr>
        <w:tc>
          <w:tcPr>
            <w:tcW w:w="2956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教育支出</w:t>
            </w:r>
          </w:p>
        </w:tc>
        <w:tc>
          <w:tcPr>
            <w:tcW w:w="1530" w:type="dxa"/>
            <w:vAlign w:val="center"/>
          </w:tcPr>
          <w:p w:rsidR="00164FCB" w:rsidRDefault="00872836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109700</w:t>
            </w:r>
          </w:p>
        </w:tc>
        <w:tc>
          <w:tcPr>
            <w:tcW w:w="1590" w:type="dxa"/>
            <w:vAlign w:val="center"/>
          </w:tcPr>
          <w:p w:rsidR="00164FCB" w:rsidRDefault="00164FCB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46" w:type="dxa"/>
          </w:tcPr>
          <w:p w:rsidR="00164FCB" w:rsidRDefault="00164FCB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64FCB">
        <w:tc>
          <w:tcPr>
            <w:tcW w:w="2956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社会保障和就业支出</w:t>
            </w:r>
          </w:p>
        </w:tc>
        <w:tc>
          <w:tcPr>
            <w:tcW w:w="1530" w:type="dxa"/>
            <w:vAlign w:val="center"/>
          </w:tcPr>
          <w:p w:rsidR="00164FCB" w:rsidRDefault="00872836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922176</w:t>
            </w:r>
          </w:p>
        </w:tc>
        <w:tc>
          <w:tcPr>
            <w:tcW w:w="1590" w:type="dxa"/>
            <w:vAlign w:val="center"/>
          </w:tcPr>
          <w:p w:rsidR="00164FCB" w:rsidRDefault="00872836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735494.10</w:t>
            </w:r>
          </w:p>
        </w:tc>
        <w:tc>
          <w:tcPr>
            <w:tcW w:w="2446" w:type="dxa"/>
          </w:tcPr>
          <w:p w:rsidR="00164FCB" w:rsidRDefault="00164FCB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64FCB">
        <w:tc>
          <w:tcPr>
            <w:tcW w:w="2956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医疗卫生与计划生育支出</w:t>
            </w:r>
          </w:p>
        </w:tc>
        <w:tc>
          <w:tcPr>
            <w:tcW w:w="1530" w:type="dxa"/>
            <w:vAlign w:val="center"/>
          </w:tcPr>
          <w:p w:rsidR="00164FCB" w:rsidRDefault="00872836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330433</w:t>
            </w:r>
          </w:p>
        </w:tc>
        <w:tc>
          <w:tcPr>
            <w:tcW w:w="1590" w:type="dxa"/>
            <w:vAlign w:val="center"/>
          </w:tcPr>
          <w:p w:rsidR="00164FCB" w:rsidRDefault="00872836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262809.39</w:t>
            </w:r>
          </w:p>
        </w:tc>
        <w:tc>
          <w:tcPr>
            <w:tcW w:w="2446" w:type="dxa"/>
          </w:tcPr>
          <w:p w:rsidR="00164FCB" w:rsidRDefault="00164FCB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64FCB">
        <w:trPr>
          <w:trHeight w:val="570"/>
        </w:trPr>
        <w:tc>
          <w:tcPr>
            <w:tcW w:w="2956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住房公积金</w:t>
            </w:r>
          </w:p>
        </w:tc>
        <w:tc>
          <w:tcPr>
            <w:tcW w:w="1530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553308</w:t>
            </w:r>
          </w:p>
        </w:tc>
        <w:tc>
          <w:tcPr>
            <w:tcW w:w="1590" w:type="dxa"/>
          </w:tcPr>
          <w:p w:rsidR="00164FCB" w:rsidRDefault="00872836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417533</w:t>
            </w:r>
          </w:p>
        </w:tc>
        <w:tc>
          <w:tcPr>
            <w:tcW w:w="2446" w:type="dxa"/>
          </w:tcPr>
          <w:p w:rsidR="00164FCB" w:rsidRDefault="00164FCB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164FCB" w:rsidRDefault="00872836">
      <w:pPr>
        <w:snapToGrid w:val="0"/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．收入支出结构分析。</w:t>
      </w:r>
    </w:p>
    <w:p w:rsidR="00164FCB" w:rsidRDefault="00872836">
      <w:pPr>
        <w:ind w:firstLine="64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）本年收入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989.45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万元，上年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892.94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万元，比上年增加了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10.81%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，增加原因是今年财政业务运转经费增加。</w:t>
      </w:r>
    </w:p>
    <w:p w:rsidR="00164FCB" w:rsidRDefault="00872836">
      <w:pPr>
        <w:ind w:firstLine="64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）</w:t>
      </w:r>
      <w:r>
        <w:rPr>
          <w:rFonts w:ascii="仿宋" w:eastAsia="仿宋" w:hAnsi="仿宋" w:cs="仿宋_GB2312" w:hint="eastAsia"/>
          <w:sz w:val="30"/>
          <w:szCs w:val="30"/>
        </w:rPr>
        <w:t>本年支出</w:t>
      </w:r>
      <w:r>
        <w:rPr>
          <w:rFonts w:ascii="仿宋" w:eastAsia="仿宋" w:hAnsi="仿宋" w:cs="仿宋_GB2312" w:hint="eastAsia"/>
          <w:sz w:val="30"/>
          <w:szCs w:val="30"/>
        </w:rPr>
        <w:t>1076.78</w:t>
      </w:r>
      <w:r>
        <w:rPr>
          <w:rFonts w:ascii="仿宋" w:eastAsia="仿宋" w:hAnsi="仿宋" w:cs="仿宋_GB2312" w:hint="eastAsia"/>
          <w:sz w:val="30"/>
          <w:szCs w:val="30"/>
        </w:rPr>
        <w:t>万元，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上年支出</w:t>
      </w:r>
      <w:r>
        <w:rPr>
          <w:rFonts w:ascii="仿宋" w:eastAsia="仿宋" w:hAnsi="仿宋" w:cs="仿宋_GB2312" w:hint="eastAsia"/>
          <w:sz w:val="30"/>
          <w:szCs w:val="30"/>
        </w:rPr>
        <w:t>957.46</w:t>
      </w:r>
      <w:r>
        <w:rPr>
          <w:rFonts w:ascii="仿宋" w:eastAsia="仿宋" w:hAnsi="仿宋" w:cs="仿宋_GB2312" w:hint="eastAsia"/>
          <w:sz w:val="30"/>
          <w:szCs w:val="30"/>
        </w:rPr>
        <w:t>万元，比上年增加</w:t>
      </w:r>
      <w:r>
        <w:rPr>
          <w:rFonts w:ascii="仿宋" w:eastAsia="仿宋" w:hAnsi="仿宋" w:cs="仿宋_GB2312" w:hint="eastAsia"/>
          <w:sz w:val="30"/>
          <w:szCs w:val="30"/>
        </w:rPr>
        <w:t>12.46%</w:t>
      </w:r>
      <w:r>
        <w:rPr>
          <w:rFonts w:ascii="仿宋" w:eastAsia="仿宋" w:hAnsi="仿宋" w:cs="仿宋_GB2312" w:hint="eastAsia"/>
          <w:sz w:val="30"/>
          <w:szCs w:val="30"/>
        </w:rPr>
        <w:t>，原因是今年财政业务运转经费增加。</w:t>
      </w:r>
    </w:p>
    <w:p w:rsidR="00164FCB" w:rsidRDefault="00872836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黑体" w:hint="eastAsia"/>
          <w:b/>
          <w:sz w:val="30"/>
          <w:szCs w:val="30"/>
        </w:rPr>
        <w:t>二、“三公”经费支出情况</w:t>
      </w:r>
    </w:p>
    <w:p w:rsidR="004F4070" w:rsidRDefault="00872836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“三公”经费总额为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元，上年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1.92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万元，比上年减少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100%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，原因是单位取消公车，下乡工作用餐按有关规定领取差旅补助。</w:t>
      </w:r>
    </w:p>
    <w:tbl>
      <w:tblPr>
        <w:tblW w:w="8040" w:type="dxa"/>
        <w:tblInd w:w="87" w:type="dxa"/>
        <w:tblLook w:val="04A0"/>
      </w:tblPr>
      <w:tblGrid>
        <w:gridCol w:w="2800"/>
        <w:gridCol w:w="960"/>
        <w:gridCol w:w="960"/>
        <w:gridCol w:w="960"/>
        <w:gridCol w:w="2360"/>
      </w:tblGrid>
      <w:tr w:rsidR="004F4070" w:rsidRPr="004F4070" w:rsidTr="004F4070">
        <w:trPr>
          <w:trHeight w:val="73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2018</w:t>
            </w: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比上年减少（万元）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减少比例%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:rsidR="004F4070" w:rsidRPr="004F4070" w:rsidTr="004F4070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2.“</w:t>
            </w: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三公</w:t>
            </w: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”</w:t>
            </w: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经费支出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单位取消公车，未发生费用</w:t>
            </w:r>
          </w:p>
        </w:tc>
      </w:tr>
      <w:tr w:rsidR="004F4070" w:rsidRPr="004F4070" w:rsidTr="004F4070">
        <w:trPr>
          <w:trHeight w:val="4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</w:t>
            </w:r>
            <w:r w:rsidRPr="004F4070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其中：因公出国（境）费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F4070" w:rsidRPr="004F4070" w:rsidTr="004F4070">
        <w:trPr>
          <w:trHeight w:val="7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4F4070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公务用车购置及运行维护费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单位取消公车，未发生费用</w:t>
            </w:r>
          </w:p>
        </w:tc>
      </w:tr>
      <w:tr w:rsidR="004F4070" w:rsidRPr="004F4070" w:rsidTr="004F4070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4F4070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其中：公务用车购置费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F4070" w:rsidRPr="004F4070" w:rsidTr="004F4070">
        <w:trPr>
          <w:trHeight w:val="7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                  </w:t>
            </w:r>
            <w:r w:rsidRPr="004F4070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公务用车运行维护费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单位取消公车，未发生费用</w:t>
            </w:r>
          </w:p>
        </w:tc>
      </w:tr>
      <w:tr w:rsidR="004F4070" w:rsidRPr="004F4070" w:rsidTr="004F4070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70" w:rsidRPr="004F4070" w:rsidRDefault="004F4070" w:rsidP="004F40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F407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本年未发生费用</w:t>
            </w:r>
          </w:p>
        </w:tc>
      </w:tr>
    </w:tbl>
    <w:p w:rsidR="00164FCB" w:rsidRDefault="00164FCB" w:rsidP="004F4070">
      <w:pPr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</w:p>
    <w:p w:rsidR="00164FCB" w:rsidRDefault="00872836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）细化说明因公出国（境）团组数及人数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,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我单位无此项目支出。</w:t>
      </w:r>
    </w:p>
    <w:p w:rsidR="00164FCB" w:rsidRDefault="00872836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）“公务用车购置和运行费”是否细化公开为“公务用车购置费”和“公务用车运行费”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我单位无此项目支出。</w:t>
      </w:r>
    </w:p>
    <w:p w:rsidR="00164FCB" w:rsidRDefault="00872836">
      <w:pPr>
        <w:snapToGrid w:val="0"/>
        <w:spacing w:line="360" w:lineRule="auto"/>
        <w:ind w:firstLineChars="250" w:firstLine="75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( 3 )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公务用车购置数及保有量。我单位有一辆</w:t>
      </w:r>
      <w:r>
        <w:rPr>
          <w:rFonts w:ascii="仿宋" w:eastAsia="仿宋" w:hAnsi="仿宋" w:cs="仿宋_GB2312" w:hint="eastAsia"/>
          <w:sz w:val="30"/>
          <w:szCs w:val="30"/>
        </w:rPr>
        <w:t>公务用车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，车辆调拨机关事务管理局平台，还未下账。</w:t>
      </w:r>
    </w:p>
    <w:p w:rsidR="00164FCB" w:rsidRDefault="00872836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( 4 )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国内公务接待的批次</w:t>
      </w:r>
      <w:r w:rsidR="004F4070">
        <w:rPr>
          <w:rFonts w:ascii="仿宋" w:eastAsia="仿宋" w:hAnsi="仿宋" w:cs="仿宋_GB2312" w:hint="eastAsia"/>
          <w:color w:val="000000"/>
          <w:sz w:val="30"/>
          <w:szCs w:val="30"/>
        </w:rPr>
        <w:t>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、人数</w:t>
      </w:r>
      <w:r w:rsidR="004F4070">
        <w:rPr>
          <w:rFonts w:ascii="仿宋" w:eastAsia="仿宋" w:hAnsi="仿宋" w:cs="仿宋_GB2312" w:hint="eastAsia"/>
          <w:color w:val="000000"/>
          <w:sz w:val="30"/>
          <w:szCs w:val="30"/>
        </w:rPr>
        <w:t>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，我单位无此项目支出。</w:t>
      </w:r>
    </w:p>
    <w:p w:rsidR="00164FCB" w:rsidRDefault="00872836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会议费支出情况：本年度无会议召开。</w:t>
      </w:r>
    </w:p>
    <w:p w:rsidR="00164FCB" w:rsidRDefault="00872836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培训费支出情况：本年度支出</w:t>
      </w:r>
      <w:r>
        <w:rPr>
          <w:rFonts w:ascii="仿宋" w:eastAsia="仿宋" w:hAnsi="仿宋" w:cs="仿宋_GB2312" w:hint="eastAsia"/>
          <w:sz w:val="30"/>
          <w:szCs w:val="30"/>
        </w:rPr>
        <w:t>21.26</w:t>
      </w:r>
      <w:r>
        <w:rPr>
          <w:rFonts w:ascii="仿宋" w:eastAsia="仿宋" w:hAnsi="仿宋" w:cs="仿宋_GB2312" w:hint="eastAsia"/>
          <w:sz w:val="30"/>
          <w:szCs w:val="30"/>
        </w:rPr>
        <w:t>万元，上年</w:t>
      </w:r>
      <w:r>
        <w:rPr>
          <w:rFonts w:ascii="仿宋" w:eastAsia="仿宋" w:hAnsi="仿宋" w:cs="仿宋_GB2312" w:hint="eastAsia"/>
          <w:sz w:val="30"/>
          <w:szCs w:val="30"/>
        </w:rPr>
        <w:t>14.38</w:t>
      </w:r>
      <w:r>
        <w:rPr>
          <w:rFonts w:ascii="仿宋" w:eastAsia="仿宋" w:hAnsi="仿宋" w:cs="仿宋_GB2312" w:hint="eastAsia"/>
          <w:sz w:val="30"/>
          <w:szCs w:val="30"/>
        </w:rPr>
        <w:t>万元，比上年增加</w:t>
      </w:r>
      <w:r>
        <w:rPr>
          <w:rFonts w:ascii="仿宋" w:eastAsia="仿宋" w:hAnsi="仿宋" w:cs="仿宋_GB2312" w:hint="eastAsia"/>
          <w:sz w:val="30"/>
          <w:szCs w:val="30"/>
        </w:rPr>
        <w:t>47.82%</w:t>
      </w:r>
      <w:r>
        <w:rPr>
          <w:rFonts w:ascii="仿宋" w:eastAsia="仿宋" w:hAnsi="仿宋" w:cs="仿宋_GB2312" w:hint="eastAsia"/>
          <w:sz w:val="30"/>
          <w:szCs w:val="30"/>
        </w:rPr>
        <w:t>，增加原因是外出业务培训次数增加。</w:t>
      </w:r>
    </w:p>
    <w:p w:rsidR="00164FCB" w:rsidRDefault="00872836">
      <w:pPr>
        <w:snapToGrid w:val="0"/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sz w:val="30"/>
          <w:szCs w:val="30"/>
        </w:rPr>
        <w:t>三、机关运行经费执行情况说明及政府采购说明</w:t>
      </w:r>
    </w:p>
    <w:p w:rsidR="00164FCB" w:rsidRDefault="00872836">
      <w:pPr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、机关运行经费执行情况说明</w:t>
      </w:r>
    </w:p>
    <w:p w:rsidR="00164FCB" w:rsidRDefault="00872836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2018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年机关运行经费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293</w:t>
      </w:r>
      <w:r>
        <w:rPr>
          <w:rFonts w:ascii="仿宋" w:eastAsia="仿宋" w:hAnsi="仿宋" w:cs="仿宋_GB2312" w:hint="eastAsia"/>
          <w:sz w:val="30"/>
          <w:szCs w:val="30"/>
        </w:rPr>
        <w:t>.85</w:t>
      </w:r>
      <w:r>
        <w:rPr>
          <w:rFonts w:ascii="仿宋" w:eastAsia="仿宋" w:hAnsi="仿宋" w:cs="仿宋_GB2312" w:hint="eastAsia"/>
          <w:sz w:val="30"/>
          <w:szCs w:val="30"/>
        </w:rPr>
        <w:t>万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元，本年度内办公用房取暖费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12.87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万元，日常办公费支出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280.98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万元。上年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192.44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万元，比上年增加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52.70%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，增加原因是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今年财政业务运转经费增加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。</w:t>
      </w:r>
    </w:p>
    <w:p w:rsidR="00164FCB" w:rsidRDefault="00872836">
      <w:pPr>
        <w:snapToGrid w:val="0"/>
        <w:spacing w:line="360" w:lineRule="auto"/>
        <w:ind w:firstLineChars="200" w:firstLine="602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2018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年政府采购经费说明</w:t>
      </w:r>
    </w:p>
    <w:p w:rsidR="00164FCB" w:rsidRDefault="00872836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本年政府采购支出</w:t>
      </w:r>
      <w:r>
        <w:rPr>
          <w:rFonts w:ascii="仿宋" w:eastAsia="仿宋" w:hAnsi="仿宋" w:cs="仿宋_GB2312" w:hint="eastAsia"/>
          <w:sz w:val="30"/>
          <w:szCs w:val="30"/>
        </w:rPr>
        <w:t>57.20</w:t>
      </w:r>
      <w:r>
        <w:rPr>
          <w:rFonts w:ascii="仿宋" w:eastAsia="仿宋" w:hAnsi="仿宋" w:cs="仿宋_GB2312" w:hint="eastAsia"/>
          <w:sz w:val="30"/>
          <w:szCs w:val="30"/>
        </w:rPr>
        <w:t>万元，资金来源为一般公共预算财政拨款。主要用于（</w:t>
      </w:r>
      <w:r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）购置办公用电脑以及打印设备支出。（</w:t>
      </w: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）家具用居购置支出。（</w:t>
      </w: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）软件购置支出。</w:t>
      </w:r>
    </w:p>
    <w:p w:rsidR="00164FCB" w:rsidRDefault="00872836">
      <w:pPr>
        <w:numPr>
          <w:ilvl w:val="0"/>
          <w:numId w:val="1"/>
        </w:numPr>
        <w:snapToGrid w:val="0"/>
        <w:spacing w:line="360" w:lineRule="auto"/>
        <w:ind w:firstLineChars="200" w:firstLine="602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黑体" w:hint="eastAsia"/>
          <w:b/>
          <w:sz w:val="30"/>
          <w:szCs w:val="30"/>
        </w:rPr>
        <w:t>财政拨款收入、支出分析。</w:t>
      </w:r>
    </w:p>
    <w:p w:rsidR="00164FCB" w:rsidRDefault="00872836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本年支出</w:t>
      </w:r>
      <w:r>
        <w:rPr>
          <w:rFonts w:ascii="仿宋" w:eastAsia="仿宋" w:hAnsi="仿宋" w:cs="仿宋_GB2312" w:hint="eastAsia"/>
          <w:sz w:val="30"/>
          <w:szCs w:val="30"/>
        </w:rPr>
        <w:t>1076.78</w:t>
      </w:r>
      <w:r>
        <w:rPr>
          <w:rFonts w:ascii="仿宋" w:eastAsia="仿宋" w:hAnsi="仿宋" w:cs="仿宋_GB2312" w:hint="eastAsia"/>
          <w:sz w:val="30"/>
          <w:szCs w:val="30"/>
        </w:rPr>
        <w:t>万元，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其中：基本支出本年</w:t>
      </w:r>
      <w:r>
        <w:rPr>
          <w:rFonts w:ascii="仿宋" w:eastAsia="仿宋" w:hAnsi="仿宋" w:cs="仿宋_GB2312" w:hint="eastAsia"/>
          <w:sz w:val="30"/>
          <w:szCs w:val="30"/>
        </w:rPr>
        <w:t>901.44</w:t>
      </w:r>
      <w:r>
        <w:rPr>
          <w:rFonts w:ascii="仿宋" w:eastAsia="仿宋" w:hAnsi="仿宋" w:cs="仿宋_GB2312" w:hint="eastAsia"/>
          <w:sz w:val="30"/>
          <w:szCs w:val="30"/>
        </w:rPr>
        <w:t>万元，上年</w:t>
      </w:r>
      <w:r>
        <w:rPr>
          <w:rFonts w:ascii="仿宋" w:eastAsia="仿宋" w:hAnsi="仿宋" w:cs="仿宋_GB2312" w:hint="eastAsia"/>
          <w:sz w:val="30"/>
          <w:szCs w:val="30"/>
        </w:rPr>
        <w:t>823.90</w:t>
      </w:r>
      <w:r>
        <w:rPr>
          <w:rFonts w:ascii="仿宋" w:eastAsia="仿宋" w:hAnsi="仿宋" w:cs="仿宋_GB2312" w:hint="eastAsia"/>
          <w:sz w:val="30"/>
          <w:szCs w:val="30"/>
        </w:rPr>
        <w:t>万元，比上年增加</w:t>
      </w:r>
      <w:r>
        <w:rPr>
          <w:rFonts w:ascii="仿宋" w:eastAsia="仿宋" w:hAnsi="仿宋" w:cs="仿宋_GB2312" w:hint="eastAsia"/>
          <w:sz w:val="30"/>
          <w:szCs w:val="30"/>
        </w:rPr>
        <w:t>9.41%,</w:t>
      </w:r>
      <w:r>
        <w:rPr>
          <w:rFonts w:ascii="仿宋" w:eastAsia="仿宋" w:hAnsi="仿宋" w:cs="仿宋_GB2312" w:hint="eastAsia"/>
          <w:sz w:val="30"/>
          <w:szCs w:val="30"/>
        </w:rPr>
        <w:t>增加原因是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职工工资调整、增加工会工作会费支出；</w:t>
      </w:r>
      <w:r>
        <w:rPr>
          <w:rFonts w:ascii="仿宋" w:eastAsia="仿宋" w:hAnsi="仿宋" w:cs="仿宋_GB2312" w:hint="eastAsia"/>
          <w:sz w:val="30"/>
          <w:szCs w:val="30"/>
        </w:rPr>
        <w:t>项目支</w:t>
      </w:r>
      <w:r>
        <w:rPr>
          <w:rFonts w:ascii="仿宋" w:eastAsia="仿宋" w:hAnsi="仿宋" w:cs="仿宋_GB2312" w:hint="eastAsia"/>
          <w:sz w:val="30"/>
          <w:szCs w:val="30"/>
        </w:rPr>
        <w:t>175.34</w:t>
      </w:r>
      <w:r>
        <w:rPr>
          <w:rFonts w:ascii="仿宋" w:eastAsia="仿宋" w:hAnsi="仿宋" w:cs="仿宋_GB2312" w:hint="eastAsia"/>
          <w:sz w:val="30"/>
          <w:szCs w:val="30"/>
        </w:rPr>
        <w:t>万元，上年</w:t>
      </w:r>
      <w:r>
        <w:rPr>
          <w:rFonts w:ascii="仿宋" w:eastAsia="仿宋" w:hAnsi="仿宋" w:cs="仿宋_GB2312" w:hint="eastAsia"/>
          <w:sz w:val="30"/>
          <w:szCs w:val="30"/>
        </w:rPr>
        <w:t>133.56</w:t>
      </w:r>
      <w:r>
        <w:rPr>
          <w:rFonts w:ascii="仿宋" w:eastAsia="仿宋" w:hAnsi="仿宋" w:cs="仿宋_GB2312" w:hint="eastAsia"/>
          <w:sz w:val="30"/>
          <w:szCs w:val="30"/>
        </w:rPr>
        <w:t>万元，比上年度增加</w:t>
      </w:r>
      <w:r>
        <w:rPr>
          <w:rFonts w:ascii="仿宋" w:eastAsia="仿宋" w:hAnsi="仿宋" w:cs="仿宋_GB2312" w:hint="eastAsia"/>
          <w:sz w:val="30"/>
          <w:szCs w:val="30"/>
        </w:rPr>
        <w:t>31.28%</w:t>
      </w:r>
      <w:r>
        <w:rPr>
          <w:rFonts w:ascii="仿宋" w:eastAsia="仿宋" w:hAnsi="仿宋" w:cs="仿宋_GB2312" w:hint="eastAsia"/>
          <w:sz w:val="30"/>
          <w:szCs w:val="30"/>
        </w:rPr>
        <w:t>，增加原因是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财政业务运转经费增加。</w:t>
      </w:r>
    </w:p>
    <w:p w:rsidR="00164FCB" w:rsidRDefault="00872836">
      <w:pPr>
        <w:snapToGrid w:val="0"/>
        <w:spacing w:line="360" w:lineRule="auto"/>
        <w:ind w:firstLineChars="200" w:firstLine="602"/>
        <w:rPr>
          <w:rFonts w:ascii="仿宋" w:eastAsia="仿宋" w:hAnsi="仿宋" w:cs="黑体"/>
          <w:b/>
          <w:sz w:val="30"/>
          <w:szCs w:val="30"/>
        </w:rPr>
      </w:pPr>
      <w:r>
        <w:rPr>
          <w:rFonts w:ascii="仿宋" w:eastAsia="仿宋" w:hAnsi="仿宋" w:cs="黑体" w:hint="eastAsia"/>
          <w:b/>
          <w:sz w:val="30"/>
          <w:szCs w:val="30"/>
        </w:rPr>
        <w:t>四、年末结转和结余情况</w:t>
      </w:r>
    </w:p>
    <w:p w:rsidR="00164FCB" w:rsidRDefault="00872836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年末结转结余：本年结转结余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78.14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万元，上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年结转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65.90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万元，比上年增加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18.56%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，其中一般公共预算财政拨款本年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70.93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万元，上年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58.70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万元，比上年增加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20.84%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，原因是因为当年的绩效评价委托业务费未结算，年底结转资金增加。</w:t>
      </w:r>
    </w:p>
    <w:p w:rsidR="00164FCB" w:rsidRDefault="00872836">
      <w:pPr>
        <w:snapToGrid w:val="0"/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bookmarkStart w:id="0" w:name="YS060103"/>
      <w:r>
        <w:rPr>
          <w:rFonts w:ascii="仿宋" w:eastAsia="仿宋" w:hAnsi="仿宋" w:cs="黑体" w:hint="eastAsia"/>
          <w:b/>
          <w:bCs/>
          <w:sz w:val="30"/>
          <w:szCs w:val="30"/>
        </w:rPr>
        <w:t>五、资产负债情况分析</w:t>
      </w:r>
    </w:p>
    <w:bookmarkEnd w:id="0"/>
    <w:p w:rsidR="00164FCB" w:rsidRDefault="00872836">
      <w:pPr>
        <w:snapToGrid w:val="0"/>
        <w:spacing w:line="360" w:lineRule="auto"/>
        <w:ind w:firstLine="48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本年度资产总额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596.94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万元，其中：固定资产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518.30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万元。上年度资产总额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580.29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万元，比上年度增加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2.87%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，增加原因是本年购进一批资产。</w:t>
      </w:r>
    </w:p>
    <w:p w:rsidR="00164FCB" w:rsidRDefault="00872836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六、绩效管理情况</w:t>
      </w:r>
    </w:p>
    <w:p w:rsidR="00164FCB" w:rsidRDefault="00872836">
      <w:pPr>
        <w:ind w:firstLine="63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、绩效管理情况</w:t>
      </w:r>
    </w:p>
    <w:p w:rsidR="00164FCB" w:rsidRDefault="00872836">
      <w:pPr>
        <w:ind w:firstLine="63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年我单位无实行绩效目标管理的项目。</w:t>
      </w:r>
    </w:p>
    <w:p w:rsidR="00164FCB" w:rsidRDefault="00872836">
      <w:pPr>
        <w:numPr>
          <w:ilvl w:val="0"/>
          <w:numId w:val="2"/>
        </w:numPr>
        <w:ind w:firstLine="63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绩效目标情况</w:t>
      </w:r>
    </w:p>
    <w:p w:rsidR="00164FCB" w:rsidRDefault="00872836">
      <w:pPr>
        <w:ind w:firstLine="63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年无此类情况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164FCB" w:rsidRDefault="00872836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七、国有资产占有使用情况</w:t>
      </w:r>
    </w:p>
    <w:p w:rsidR="00164FCB" w:rsidRDefault="00872836">
      <w:pPr>
        <w:ind w:firstLineChars="200" w:firstLine="60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（一）国有资产占有使用情况</w:t>
      </w:r>
    </w:p>
    <w:p w:rsidR="00164FCB" w:rsidRDefault="00872836">
      <w:pPr>
        <w:autoSpaceDE w:val="0"/>
        <w:autoSpaceDN w:val="0"/>
        <w:spacing w:line="5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bookmarkStart w:id="1" w:name="_GoBack"/>
      <w:bookmarkEnd w:id="1"/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、车辆情况</w:t>
      </w:r>
      <w:r>
        <w:rPr>
          <w:rFonts w:ascii="仿宋" w:eastAsia="仿宋" w:hAnsi="仿宋" w:cs="仿宋" w:hint="eastAsia"/>
          <w:sz w:val="30"/>
          <w:szCs w:val="30"/>
        </w:rPr>
        <w:t>：我单位有轿车一辆，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已于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2016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年移交平顺县机关事务管理中心进行管理。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</w:p>
    <w:p w:rsidR="00164FCB" w:rsidRDefault="00872836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、房屋情况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我单位办公用房面积</w:t>
      </w:r>
      <w:r>
        <w:rPr>
          <w:rFonts w:ascii="仿宋_GB2312" w:eastAsia="仿宋_GB2312" w:hAnsi="仿宋" w:hint="eastAsia"/>
          <w:sz w:val="30"/>
          <w:szCs w:val="30"/>
        </w:rPr>
        <w:t>601</w:t>
      </w:r>
      <w:r>
        <w:rPr>
          <w:rFonts w:ascii="仿宋_GB2312" w:eastAsia="仿宋_GB2312" w:hAnsi="仿宋" w:hint="eastAsia"/>
          <w:sz w:val="30"/>
          <w:szCs w:val="30"/>
        </w:rPr>
        <w:t>平方米，</w:t>
      </w:r>
    </w:p>
    <w:p w:rsidR="00164FCB" w:rsidRDefault="0087283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3</w:t>
      </w:r>
      <w:r>
        <w:rPr>
          <w:rFonts w:ascii="仿宋" w:eastAsia="仿宋" w:hAnsi="仿宋" w:cs="仿宋" w:hint="eastAsia"/>
          <w:sz w:val="30"/>
          <w:szCs w:val="30"/>
        </w:rPr>
        <w:t>、其他国有资产占有使用情况</w:t>
      </w:r>
      <w:r>
        <w:rPr>
          <w:rFonts w:ascii="仿宋" w:eastAsia="仿宋" w:hAnsi="仿宋" w:cs="仿宋" w:hint="eastAsia"/>
          <w:sz w:val="30"/>
          <w:szCs w:val="30"/>
        </w:rPr>
        <w:t>：无</w:t>
      </w:r>
    </w:p>
    <w:p w:rsidR="00164FCB" w:rsidRDefault="00872836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第四部分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sz w:val="30"/>
          <w:szCs w:val="30"/>
        </w:rPr>
        <w:t>名词解释</w:t>
      </w:r>
    </w:p>
    <w:p w:rsidR="00164FCB" w:rsidRDefault="00872836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（一）基本支出：指为保障机构正常运转、完成日常</w:t>
      </w:r>
    </w:p>
    <w:p w:rsidR="00164FCB" w:rsidRDefault="00872836">
      <w:pPr>
        <w:autoSpaceDE w:val="0"/>
        <w:autoSpaceDN w:val="0"/>
        <w:adjustRightInd w:val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工作任务而发生的人员支出和公用支出。</w:t>
      </w:r>
    </w:p>
    <w:p w:rsidR="00164FCB" w:rsidRDefault="00872836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（二）项目支出：指在基本支出之外为完成特定行政任</w:t>
      </w:r>
    </w:p>
    <w:p w:rsidR="00164FCB" w:rsidRDefault="00872836">
      <w:pPr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务和事业发展目标所发生的支出。</w:t>
      </w:r>
    </w:p>
    <w:p w:rsidR="00164FCB" w:rsidRDefault="00872836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三）“三公”经费：指省直部门用一般公共预算安排的因公出国（境）费、公务用车购置及运行费和公务接待费。其中，因公出国（境）费反映单位公务出国（境）的国际旅费、国外城市间交通费、住宿费、伙食费、培训费、公杂费等支出；公务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车购置费反映公务用车车辆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:rsidR="00164FCB" w:rsidRDefault="00872836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（四）机关运行经费：指行政单位和参照公务员法管理的事业单位使用一般公共预算安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排的基本支出中的日常公用经费支出。</w:t>
      </w:r>
    </w:p>
    <w:p w:rsidR="00164FCB" w:rsidRDefault="00164FCB">
      <w:pPr>
        <w:ind w:firstLineChars="1700" w:firstLine="5100"/>
        <w:rPr>
          <w:rFonts w:ascii="仿宋" w:eastAsia="仿宋" w:hAnsi="仿宋" w:cs="仿宋_GB2312"/>
          <w:sz w:val="30"/>
          <w:szCs w:val="30"/>
        </w:rPr>
      </w:pPr>
    </w:p>
    <w:p w:rsidR="00164FCB" w:rsidRDefault="00164FCB">
      <w:pPr>
        <w:ind w:firstLineChars="1700" w:firstLine="5100"/>
        <w:rPr>
          <w:rFonts w:ascii="仿宋" w:eastAsia="仿宋" w:hAnsi="仿宋" w:cs="仿宋_GB2312"/>
          <w:sz w:val="30"/>
          <w:szCs w:val="30"/>
        </w:rPr>
      </w:pPr>
    </w:p>
    <w:p w:rsidR="00164FCB" w:rsidRDefault="00872836">
      <w:pPr>
        <w:ind w:firstLineChars="1700" w:firstLine="51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2019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 w:hint="eastAsia"/>
          <w:sz w:val="30"/>
          <w:szCs w:val="30"/>
        </w:rPr>
        <w:t>26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sectPr w:rsidR="00164FCB" w:rsidSect="00164FC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36" w:rsidRDefault="00872836" w:rsidP="00164FCB">
      <w:r>
        <w:separator/>
      </w:r>
    </w:p>
  </w:endnote>
  <w:endnote w:type="continuationSeparator" w:id="0">
    <w:p w:rsidR="00872836" w:rsidRDefault="00872836" w:rsidP="00164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CB" w:rsidRDefault="00164FC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872836">
      <w:rPr>
        <w:rStyle w:val="a6"/>
      </w:rPr>
      <w:instrText xml:space="preserve">PAGE  </w:instrText>
    </w:r>
    <w:r>
      <w:fldChar w:fldCharType="end"/>
    </w:r>
  </w:p>
  <w:p w:rsidR="00164FCB" w:rsidRDefault="00164F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CB" w:rsidRDefault="00164FC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872836">
      <w:rPr>
        <w:rStyle w:val="a6"/>
      </w:rPr>
      <w:instrText xml:space="preserve">PAGE  </w:instrText>
    </w:r>
    <w:r>
      <w:fldChar w:fldCharType="separate"/>
    </w:r>
    <w:r w:rsidR="004F4070">
      <w:rPr>
        <w:rStyle w:val="a6"/>
        <w:noProof/>
      </w:rPr>
      <w:t>5</w:t>
    </w:r>
    <w:r>
      <w:fldChar w:fldCharType="end"/>
    </w:r>
  </w:p>
  <w:p w:rsidR="00164FCB" w:rsidRDefault="00164F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36" w:rsidRDefault="00872836" w:rsidP="00164FCB">
      <w:r>
        <w:separator/>
      </w:r>
    </w:p>
  </w:footnote>
  <w:footnote w:type="continuationSeparator" w:id="0">
    <w:p w:rsidR="00872836" w:rsidRDefault="00872836" w:rsidP="00164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196CBB"/>
    <w:multiLevelType w:val="singleLevel"/>
    <w:tmpl w:val="A3196CB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15830F"/>
    <w:multiLevelType w:val="singleLevel"/>
    <w:tmpl w:val="0A15830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361"/>
    <w:rsid w:val="000B6B6A"/>
    <w:rsid w:val="001223D7"/>
    <w:rsid w:val="00164241"/>
    <w:rsid w:val="00164FCB"/>
    <w:rsid w:val="001730AF"/>
    <w:rsid w:val="001A58DE"/>
    <w:rsid w:val="00213661"/>
    <w:rsid w:val="00257351"/>
    <w:rsid w:val="002C3CD6"/>
    <w:rsid w:val="00332350"/>
    <w:rsid w:val="003D31EE"/>
    <w:rsid w:val="003F4C54"/>
    <w:rsid w:val="00412748"/>
    <w:rsid w:val="004B3954"/>
    <w:rsid w:val="004D0669"/>
    <w:rsid w:val="004E7CC0"/>
    <w:rsid w:val="004F4070"/>
    <w:rsid w:val="00505351"/>
    <w:rsid w:val="0051139F"/>
    <w:rsid w:val="00514B78"/>
    <w:rsid w:val="00530361"/>
    <w:rsid w:val="00552BFB"/>
    <w:rsid w:val="00575A54"/>
    <w:rsid w:val="00584178"/>
    <w:rsid w:val="005A1917"/>
    <w:rsid w:val="005B71BD"/>
    <w:rsid w:val="0062028C"/>
    <w:rsid w:val="00635AF8"/>
    <w:rsid w:val="006378A2"/>
    <w:rsid w:val="00661F23"/>
    <w:rsid w:val="0069691F"/>
    <w:rsid w:val="006B0571"/>
    <w:rsid w:val="006C112A"/>
    <w:rsid w:val="006C2AB4"/>
    <w:rsid w:val="006C4EE4"/>
    <w:rsid w:val="006F70FA"/>
    <w:rsid w:val="007232B0"/>
    <w:rsid w:val="00754EA4"/>
    <w:rsid w:val="007664C4"/>
    <w:rsid w:val="007E3878"/>
    <w:rsid w:val="007F00B0"/>
    <w:rsid w:val="00822FDE"/>
    <w:rsid w:val="00852F5E"/>
    <w:rsid w:val="00853644"/>
    <w:rsid w:val="00872836"/>
    <w:rsid w:val="008754D1"/>
    <w:rsid w:val="0088618F"/>
    <w:rsid w:val="008949EC"/>
    <w:rsid w:val="008D5EFB"/>
    <w:rsid w:val="008E24FF"/>
    <w:rsid w:val="009478BB"/>
    <w:rsid w:val="009C570F"/>
    <w:rsid w:val="009C7E2D"/>
    <w:rsid w:val="00A20A64"/>
    <w:rsid w:val="00A244E6"/>
    <w:rsid w:val="00A26A21"/>
    <w:rsid w:val="00A665B7"/>
    <w:rsid w:val="00A76357"/>
    <w:rsid w:val="00AF1C2E"/>
    <w:rsid w:val="00B947DF"/>
    <w:rsid w:val="00BB47D9"/>
    <w:rsid w:val="00BE1DEC"/>
    <w:rsid w:val="00C0446A"/>
    <w:rsid w:val="00C458CC"/>
    <w:rsid w:val="00CA20C6"/>
    <w:rsid w:val="00D278F0"/>
    <w:rsid w:val="00DB7BBA"/>
    <w:rsid w:val="00DB7D3D"/>
    <w:rsid w:val="00DC799B"/>
    <w:rsid w:val="00E00E40"/>
    <w:rsid w:val="00E24128"/>
    <w:rsid w:val="00E32D91"/>
    <w:rsid w:val="00E43FC2"/>
    <w:rsid w:val="00F451B2"/>
    <w:rsid w:val="00F574F3"/>
    <w:rsid w:val="00F77E31"/>
    <w:rsid w:val="00F96A0F"/>
    <w:rsid w:val="00FA0A86"/>
    <w:rsid w:val="01534347"/>
    <w:rsid w:val="05581E64"/>
    <w:rsid w:val="075E0FDB"/>
    <w:rsid w:val="08511A39"/>
    <w:rsid w:val="088E6120"/>
    <w:rsid w:val="0A8F38CA"/>
    <w:rsid w:val="0B833C89"/>
    <w:rsid w:val="0BF96549"/>
    <w:rsid w:val="0C51084A"/>
    <w:rsid w:val="0DDE6194"/>
    <w:rsid w:val="0E5E7DBE"/>
    <w:rsid w:val="10013247"/>
    <w:rsid w:val="1179035A"/>
    <w:rsid w:val="1700546A"/>
    <w:rsid w:val="176C1CB8"/>
    <w:rsid w:val="1BA467D7"/>
    <w:rsid w:val="1C3C4C6E"/>
    <w:rsid w:val="1E3D4B74"/>
    <w:rsid w:val="21BC0614"/>
    <w:rsid w:val="28F6754D"/>
    <w:rsid w:val="29F56E57"/>
    <w:rsid w:val="2A8E0083"/>
    <w:rsid w:val="2CCE66F6"/>
    <w:rsid w:val="2E73639B"/>
    <w:rsid w:val="2EC17B4F"/>
    <w:rsid w:val="2F0E5458"/>
    <w:rsid w:val="32604E08"/>
    <w:rsid w:val="33C8682E"/>
    <w:rsid w:val="35243DD7"/>
    <w:rsid w:val="381B7F4D"/>
    <w:rsid w:val="382A14BF"/>
    <w:rsid w:val="3F6F3510"/>
    <w:rsid w:val="3FE30AE3"/>
    <w:rsid w:val="409F2167"/>
    <w:rsid w:val="42FE3CD6"/>
    <w:rsid w:val="45107021"/>
    <w:rsid w:val="4AF06C0D"/>
    <w:rsid w:val="4C397087"/>
    <w:rsid w:val="4F3A30FC"/>
    <w:rsid w:val="55540368"/>
    <w:rsid w:val="55E86568"/>
    <w:rsid w:val="567D432A"/>
    <w:rsid w:val="57343418"/>
    <w:rsid w:val="57C67346"/>
    <w:rsid w:val="5ACF30BF"/>
    <w:rsid w:val="5BAE11DE"/>
    <w:rsid w:val="5E6506FC"/>
    <w:rsid w:val="5FCF5A14"/>
    <w:rsid w:val="62D01162"/>
    <w:rsid w:val="63A362A7"/>
    <w:rsid w:val="648E79A2"/>
    <w:rsid w:val="67766299"/>
    <w:rsid w:val="68222804"/>
    <w:rsid w:val="6852322B"/>
    <w:rsid w:val="69197D3F"/>
    <w:rsid w:val="6B1A64DB"/>
    <w:rsid w:val="6B711822"/>
    <w:rsid w:val="6BE65C63"/>
    <w:rsid w:val="6CC5776A"/>
    <w:rsid w:val="6E564BA5"/>
    <w:rsid w:val="6E736739"/>
    <w:rsid w:val="6F337643"/>
    <w:rsid w:val="6F994A50"/>
    <w:rsid w:val="704E02F3"/>
    <w:rsid w:val="70CD050F"/>
    <w:rsid w:val="72BA164A"/>
    <w:rsid w:val="73FC16F3"/>
    <w:rsid w:val="755B7E0A"/>
    <w:rsid w:val="762605D9"/>
    <w:rsid w:val="76D756C5"/>
    <w:rsid w:val="774C09D3"/>
    <w:rsid w:val="7C79554D"/>
    <w:rsid w:val="7CCD17E3"/>
    <w:rsid w:val="7D72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164F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64F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6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164FC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64FCB"/>
  </w:style>
  <w:style w:type="character" w:customStyle="1" w:styleId="Char0">
    <w:name w:val="页眉 Char"/>
    <w:basedOn w:val="a0"/>
    <w:link w:val="a4"/>
    <w:uiPriority w:val="99"/>
    <w:semiHidden/>
    <w:qFormat/>
    <w:rsid w:val="00164F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64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郜汝敬 </dc:creator>
  <cp:lastModifiedBy>Administrator</cp:lastModifiedBy>
  <cp:revision>67</cp:revision>
  <cp:lastPrinted>2017-01-18T09:15:00Z</cp:lastPrinted>
  <dcterms:created xsi:type="dcterms:W3CDTF">2019-03-26T09:30:00Z</dcterms:created>
  <dcterms:modified xsi:type="dcterms:W3CDTF">2021-05-29T09:47:00Z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