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r>
        <w:rPr>
          <w:rFonts w:hint="eastAsia"/>
          <w:b/>
          <w:sz w:val="32"/>
          <w:szCs w:val="32"/>
        </w:rPr>
        <w:t>403平顺县乡村振兴局2021年度部门决算公开</w:t>
      </w:r>
    </w:p>
    <w:p>
      <w:pPr>
        <w:spacing w:line="220" w:lineRule="atLeast"/>
        <w:jc w:val="center"/>
        <w:rPr>
          <w:rFonts w:ascii="黑体" w:hAnsi="黑体" w:eastAsia="黑体" w:cs="黑体"/>
          <w:b/>
          <w:color w:val="000000" w:themeColor="text1"/>
          <w14:textFill>
            <w14:solidFill>
              <w14:schemeClr w14:val="tx1"/>
            </w14:solidFill>
          </w14:textFill>
        </w:rPr>
      </w:pPr>
      <w:r>
        <w:rPr>
          <w:rFonts w:hint="eastAsia" w:ascii="黑体" w:hAnsi="黑体" w:eastAsia="黑体" w:cs="黑体"/>
          <w:b/>
          <w:color w:val="000000" w:themeColor="text1"/>
          <w14:textFill>
            <w14:solidFill>
              <w14:schemeClr w14:val="tx1"/>
            </w14:solidFill>
          </w14:textFill>
        </w:rPr>
        <w:t>目      录</w:t>
      </w:r>
    </w:p>
    <w:p>
      <w:pPr>
        <w:spacing w:line="220" w:lineRule="atLeast"/>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第一部分    概况</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一、本部门职责</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二、机构设置情况</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三、年度工作计划及执行情况</w:t>
      </w:r>
    </w:p>
    <w:p>
      <w:pPr>
        <w:spacing w:line="220" w:lineRule="atLeast"/>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第二部分    2021年度部门决算报表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一、收入支出决算总表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二、收入决算表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三、支出决算表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四、财政拨款收入支出决算总表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五、一般公共预算财政拨款支出决算表（一）</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六、一般公共预算财政拨款支出决算表（二）</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七、一般公共预算财政拨款“三公”经费支出决算表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八、政府性基金预算财政拨款收入支出决算表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九、国有资本经营预算财政拨款支出决算表</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十、部门决算公开相关信息统计表</w:t>
      </w:r>
    </w:p>
    <w:p>
      <w:pPr>
        <w:spacing w:line="220" w:lineRule="atLeast"/>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第三部分   2021年度部门决算情况说明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一、收入支出决算总体情况说明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二、收入决算情况说明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三、支出决算情况说明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四、财政拨款收入支出决算总体情况说明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五、一般公共预算财政拨款支出决算情况说明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六、一般公共预算财政拨款基本支出决算情况说明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七、一般公共预算财政拨款“三公”经费支出决算情况说明</w:t>
      </w:r>
    </w:p>
    <w:p>
      <w:pPr>
        <w:spacing w:line="220" w:lineRule="atLeas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八、其他重要事项情况说明</w:t>
      </w:r>
    </w:p>
    <w:p>
      <w:pPr>
        <w:spacing w:line="220" w:lineRule="atLeast"/>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第四部分    名词解释</w:t>
      </w:r>
    </w:p>
    <w:p>
      <w:pPr>
        <w:spacing w:line="220" w:lineRule="atLeast"/>
        <w:rPr>
          <w:rFonts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13"/>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r>
        <w:rPr>
          <w:rFonts w:hint="eastAsia"/>
          <w:b/>
          <w:sz w:val="28"/>
          <w:szCs w:val="28"/>
        </w:rPr>
        <w:t>第一部分概况</w:t>
      </w:r>
    </w:p>
    <w:p>
      <w:pPr>
        <w:spacing w:line="220" w:lineRule="atLeast"/>
        <w:ind w:firstLine="560" w:firstLineChars="200"/>
        <w:rPr>
          <w:b/>
          <w:bCs/>
          <w:sz w:val="28"/>
          <w:szCs w:val="28"/>
        </w:rPr>
      </w:pPr>
      <w:r>
        <w:rPr>
          <w:rFonts w:hint="eastAsia"/>
          <w:b/>
          <w:bCs/>
          <w:sz w:val="28"/>
          <w:szCs w:val="28"/>
        </w:rPr>
        <w:t>一、本部门职责</w:t>
      </w:r>
    </w:p>
    <w:p>
      <w:pPr>
        <w:spacing w:line="220" w:lineRule="atLeast"/>
        <w:ind w:firstLine="440" w:firstLineChars="200"/>
        <w:rPr>
          <w:sz w:val="28"/>
          <w:szCs w:val="28"/>
        </w:rPr>
      </w:pPr>
      <w:r>
        <w:rPr>
          <w:rFonts w:hint="eastAsia" w:ascii="仿宋" w:hAnsi="仿宋" w:eastAsia="仿宋" w:cs="仿宋"/>
        </w:rPr>
        <w:t xml:space="preserve"> </w:t>
      </w:r>
      <w:r>
        <w:rPr>
          <w:rFonts w:hint="eastAsia"/>
          <w:sz w:val="28"/>
          <w:szCs w:val="28"/>
        </w:rPr>
        <w:t>（1）承办县巩固脱贫攻坚衔接乡村振兴领导小组日常工作，协调行业部门推进专项乡村振兴工作，负责组织、协调和指导全县乡村振兴工作。</w:t>
      </w:r>
    </w:p>
    <w:p>
      <w:pPr>
        <w:spacing w:line="220" w:lineRule="atLeast"/>
        <w:ind w:firstLine="560" w:firstLineChars="200"/>
        <w:rPr>
          <w:sz w:val="28"/>
          <w:szCs w:val="28"/>
        </w:rPr>
      </w:pPr>
      <w:r>
        <w:rPr>
          <w:rFonts w:hint="eastAsia"/>
          <w:sz w:val="28"/>
          <w:szCs w:val="28"/>
        </w:rPr>
        <w:t>（2）研究拟定全县乡村振兴工作的政策、规划并组织实施。起草扶贫开发工作的规范性文件草案。</w:t>
      </w:r>
    </w:p>
    <w:p>
      <w:pPr>
        <w:spacing w:line="220" w:lineRule="atLeast"/>
        <w:ind w:firstLine="560" w:firstLineChars="200"/>
        <w:rPr>
          <w:sz w:val="28"/>
          <w:szCs w:val="28"/>
        </w:rPr>
      </w:pPr>
      <w:r>
        <w:rPr>
          <w:rFonts w:hint="eastAsia"/>
          <w:sz w:val="28"/>
          <w:szCs w:val="28"/>
        </w:rPr>
        <w:t>（3）协调社会各界的乡村振兴工作，协调组织全县干部驻村帮扶工作。</w:t>
      </w:r>
    </w:p>
    <w:p>
      <w:pPr>
        <w:spacing w:line="220" w:lineRule="atLeast"/>
        <w:ind w:firstLine="560" w:firstLineChars="200"/>
        <w:rPr>
          <w:sz w:val="28"/>
          <w:szCs w:val="28"/>
        </w:rPr>
      </w:pPr>
      <w:r>
        <w:rPr>
          <w:rFonts w:hint="eastAsia"/>
          <w:sz w:val="28"/>
          <w:szCs w:val="28"/>
        </w:rPr>
        <w:t>（4）拟定全县脱贫户、边缘户、监测户和乡村振兴工作重点区域的扶持意见。</w:t>
      </w:r>
    </w:p>
    <w:p>
      <w:pPr>
        <w:spacing w:line="220" w:lineRule="atLeast"/>
        <w:ind w:firstLine="560" w:firstLineChars="200"/>
        <w:rPr>
          <w:sz w:val="28"/>
          <w:szCs w:val="28"/>
        </w:rPr>
      </w:pPr>
      <w:r>
        <w:rPr>
          <w:rFonts w:hint="eastAsia"/>
          <w:sz w:val="28"/>
          <w:szCs w:val="28"/>
        </w:rPr>
        <w:t>（5）组织实施全县易地扶贫搬迁后续产业发展、特色产业扶贫、光伏等新型产业、贫困村提升等重点工作。</w:t>
      </w:r>
    </w:p>
    <w:p>
      <w:pPr>
        <w:spacing w:line="220" w:lineRule="atLeast"/>
        <w:ind w:firstLine="560" w:firstLineChars="200"/>
        <w:rPr>
          <w:sz w:val="28"/>
          <w:szCs w:val="28"/>
        </w:rPr>
      </w:pPr>
      <w:r>
        <w:rPr>
          <w:rFonts w:hint="eastAsia"/>
          <w:sz w:val="28"/>
          <w:szCs w:val="28"/>
        </w:rPr>
        <w:t>（6）拟定全县乡村振兴滚动规划和年度脱贫计划，下达各乡（镇）年度乡村振兴目标任务，组织开展全县乡村振兴工作成效考核评估。</w:t>
      </w:r>
    </w:p>
    <w:p>
      <w:pPr>
        <w:spacing w:line="220" w:lineRule="atLeast"/>
        <w:ind w:firstLine="560" w:firstLineChars="200"/>
        <w:rPr>
          <w:sz w:val="28"/>
          <w:szCs w:val="28"/>
        </w:rPr>
      </w:pPr>
      <w:r>
        <w:rPr>
          <w:rFonts w:hint="eastAsia"/>
          <w:sz w:val="28"/>
          <w:szCs w:val="28"/>
        </w:rPr>
        <w:t>（7）组织开展建档立卡工作，对脱贫户、边缘户、监测户实施动态管理；指导乡村振兴系统统计信息工作。</w:t>
      </w:r>
    </w:p>
    <w:p>
      <w:pPr>
        <w:spacing w:line="220" w:lineRule="atLeast"/>
        <w:ind w:firstLine="560" w:firstLineChars="200"/>
        <w:rPr>
          <w:sz w:val="28"/>
          <w:szCs w:val="28"/>
        </w:rPr>
      </w:pPr>
      <w:r>
        <w:rPr>
          <w:rFonts w:hint="eastAsia"/>
          <w:sz w:val="28"/>
          <w:szCs w:val="28"/>
        </w:rPr>
        <w:t>（8）协调拟定全县扶贫资金分配方案，指导、检查、监督衔接乡村振兴资金的使用；负责引进外资扶贫项目并组织实施。</w:t>
      </w:r>
    </w:p>
    <w:p>
      <w:pPr>
        <w:spacing w:line="220" w:lineRule="atLeast"/>
        <w:ind w:firstLine="560" w:firstLineChars="200"/>
        <w:rPr>
          <w:sz w:val="28"/>
          <w:szCs w:val="28"/>
        </w:rPr>
      </w:pPr>
      <w:r>
        <w:rPr>
          <w:rFonts w:hint="eastAsia"/>
          <w:sz w:val="28"/>
          <w:szCs w:val="28"/>
        </w:rPr>
        <w:t>（9）组织开展乡村振兴宣传工作。</w:t>
      </w:r>
    </w:p>
    <w:p>
      <w:pPr>
        <w:spacing w:line="220" w:lineRule="atLeast"/>
        <w:ind w:firstLine="560" w:firstLineChars="200"/>
        <w:rPr>
          <w:sz w:val="28"/>
          <w:szCs w:val="28"/>
        </w:rPr>
      </w:pPr>
      <w:r>
        <w:rPr>
          <w:rFonts w:hint="eastAsia"/>
          <w:sz w:val="28"/>
          <w:szCs w:val="28"/>
        </w:rPr>
        <w:t>（10）负责有关乡村振兴的对外交流与合作，负责社会各类衔接乡村振兴资金、项目的组织实施、监督管理。</w:t>
      </w:r>
    </w:p>
    <w:p>
      <w:pPr>
        <w:spacing w:line="220" w:lineRule="atLeast"/>
        <w:ind w:firstLine="560" w:firstLineChars="200"/>
        <w:rPr>
          <w:sz w:val="28"/>
          <w:szCs w:val="28"/>
        </w:rPr>
      </w:pPr>
      <w:r>
        <w:rPr>
          <w:rFonts w:hint="eastAsia"/>
          <w:sz w:val="28"/>
          <w:szCs w:val="28"/>
        </w:rPr>
        <w:t>（11）承办全县各级乡村振兴干部的综合性教育、培训工作。</w:t>
      </w:r>
    </w:p>
    <w:p>
      <w:pPr>
        <w:spacing w:line="220" w:lineRule="atLeast"/>
        <w:ind w:firstLine="560" w:firstLineChars="200"/>
        <w:rPr>
          <w:sz w:val="28"/>
          <w:szCs w:val="28"/>
        </w:rPr>
      </w:pPr>
      <w:r>
        <w:rPr>
          <w:rFonts w:hint="eastAsia"/>
          <w:sz w:val="28"/>
          <w:szCs w:val="28"/>
        </w:rPr>
        <w:t>（12）完成县委、县政府交办的其他任务。</w:t>
      </w:r>
    </w:p>
    <w:p>
      <w:pPr>
        <w:spacing w:line="220" w:lineRule="atLeast"/>
        <w:ind w:firstLine="560" w:firstLineChars="200"/>
        <w:rPr>
          <w:b/>
          <w:bCs/>
          <w:sz w:val="28"/>
          <w:szCs w:val="28"/>
        </w:rPr>
      </w:pPr>
      <w:r>
        <w:rPr>
          <w:rFonts w:hint="eastAsia"/>
          <w:b/>
          <w:bCs/>
          <w:sz w:val="28"/>
          <w:szCs w:val="28"/>
        </w:rPr>
        <w:t>二、机构设置情况</w:t>
      </w:r>
    </w:p>
    <w:p>
      <w:pPr>
        <w:spacing w:line="220" w:lineRule="atLeast"/>
        <w:ind w:firstLine="560" w:firstLineChars="200"/>
        <w:rPr>
          <w:sz w:val="28"/>
          <w:szCs w:val="28"/>
        </w:rPr>
      </w:pPr>
      <w:r>
        <w:rPr>
          <w:rFonts w:hint="eastAsia"/>
          <w:sz w:val="28"/>
          <w:szCs w:val="28"/>
        </w:rPr>
        <w:t>根据平编发（2021）3号文件精神，县扶贫开发办公室重组为县乡村振兴局，单独设置，为政府工作部门，正科级建制，主要负责巩固拓展脱贫攻坚成果</w:t>
      </w:r>
      <w:bookmarkStart w:id="0" w:name="_GoBack"/>
      <w:bookmarkEnd w:id="0"/>
      <w:r>
        <w:rPr>
          <w:rFonts w:hint="eastAsia"/>
          <w:sz w:val="28"/>
          <w:szCs w:val="28"/>
        </w:rPr>
        <w:t>，统筹推进实施乡村振兴战略有关具体工作。下设综合办公室、计划财务股、监督监测股，另成立县乡村振兴发展中心，股级建制，隶属于县乡村振兴局。</w:t>
      </w:r>
    </w:p>
    <w:p>
      <w:pPr>
        <w:spacing w:line="220" w:lineRule="atLeast"/>
        <w:ind w:firstLine="560" w:firstLineChars="200"/>
        <w:rPr>
          <w:rFonts w:ascii="仿宋" w:hAnsi="仿宋" w:eastAsia="仿宋" w:cs="仿宋"/>
          <w:b/>
          <w:bCs/>
          <w:sz w:val="32"/>
          <w:szCs w:val="32"/>
        </w:rPr>
      </w:pPr>
      <w:r>
        <w:rPr>
          <w:rFonts w:hint="eastAsia"/>
          <w:b/>
          <w:bCs/>
          <w:sz w:val="28"/>
          <w:szCs w:val="28"/>
        </w:rPr>
        <w:t>三、年度工作计划及执行情况</w:t>
      </w:r>
    </w:p>
    <w:p>
      <w:pPr>
        <w:pStyle w:val="2"/>
        <w:widowControl w:val="0"/>
        <w:adjustRightInd/>
        <w:snapToGrid/>
        <w:spacing w:line="600" w:lineRule="exact"/>
        <w:ind w:left="0" w:firstLine="560" w:firstLineChars="200"/>
        <w:jc w:val="both"/>
        <w:rPr>
          <w:sz w:val="28"/>
          <w:szCs w:val="28"/>
        </w:rPr>
      </w:pPr>
      <w:r>
        <w:rPr>
          <w:rFonts w:hint="eastAsia"/>
          <w:sz w:val="28"/>
          <w:szCs w:val="28"/>
        </w:rPr>
        <w:t>（一）夯实基础，以强有力举措巩固拓展脱贫攻坚成果</w:t>
      </w:r>
    </w:p>
    <w:p>
      <w:pPr>
        <w:pStyle w:val="2"/>
        <w:widowControl w:val="0"/>
        <w:adjustRightInd/>
        <w:snapToGrid/>
        <w:spacing w:line="600" w:lineRule="exact"/>
        <w:ind w:left="0" w:firstLine="560" w:firstLineChars="200"/>
        <w:jc w:val="both"/>
        <w:rPr>
          <w:sz w:val="28"/>
          <w:szCs w:val="28"/>
        </w:rPr>
      </w:pPr>
      <w:r>
        <w:rPr>
          <w:rFonts w:hint="eastAsia"/>
          <w:sz w:val="28"/>
          <w:szCs w:val="28"/>
        </w:rPr>
        <w:t>1、健全政策体系。</w:t>
      </w:r>
    </w:p>
    <w:p>
      <w:pPr>
        <w:pStyle w:val="2"/>
        <w:widowControl w:val="0"/>
        <w:adjustRightInd/>
        <w:snapToGrid/>
        <w:spacing w:line="600" w:lineRule="exact"/>
        <w:ind w:left="0" w:firstLine="560" w:firstLineChars="200"/>
        <w:jc w:val="both"/>
        <w:rPr>
          <w:sz w:val="28"/>
          <w:szCs w:val="28"/>
        </w:rPr>
      </w:pPr>
      <w:r>
        <w:rPr>
          <w:rFonts w:hint="eastAsia"/>
          <w:sz w:val="28"/>
          <w:szCs w:val="28"/>
        </w:rPr>
        <w:t>2、防止返贫动态监测。</w:t>
      </w:r>
    </w:p>
    <w:p>
      <w:pPr>
        <w:pStyle w:val="2"/>
        <w:widowControl w:val="0"/>
        <w:adjustRightInd/>
        <w:snapToGrid/>
        <w:spacing w:line="600" w:lineRule="exact"/>
        <w:ind w:left="0" w:firstLine="560" w:firstLineChars="200"/>
        <w:jc w:val="both"/>
        <w:rPr>
          <w:sz w:val="28"/>
          <w:szCs w:val="28"/>
        </w:rPr>
      </w:pPr>
      <w:r>
        <w:rPr>
          <w:rFonts w:hint="eastAsia"/>
          <w:sz w:val="28"/>
          <w:szCs w:val="28"/>
        </w:rPr>
        <w:t>3、问题整改清零。</w:t>
      </w:r>
    </w:p>
    <w:p>
      <w:pPr>
        <w:pStyle w:val="2"/>
        <w:widowControl w:val="0"/>
        <w:adjustRightInd/>
        <w:snapToGrid/>
        <w:spacing w:line="600" w:lineRule="exact"/>
        <w:ind w:left="0" w:firstLine="560" w:firstLineChars="200"/>
        <w:jc w:val="both"/>
        <w:rPr>
          <w:sz w:val="28"/>
          <w:szCs w:val="28"/>
        </w:rPr>
      </w:pPr>
      <w:r>
        <w:rPr>
          <w:rFonts w:hint="eastAsia"/>
          <w:sz w:val="28"/>
          <w:szCs w:val="28"/>
        </w:rPr>
        <w:t>（二）巩固成效，以队伍资金项目健全保障机制</w:t>
      </w:r>
    </w:p>
    <w:p>
      <w:pPr>
        <w:pStyle w:val="2"/>
        <w:widowControl w:val="0"/>
        <w:adjustRightInd/>
        <w:snapToGrid/>
        <w:spacing w:line="600" w:lineRule="exact"/>
        <w:ind w:left="0" w:firstLine="560" w:firstLineChars="200"/>
        <w:jc w:val="both"/>
        <w:rPr>
          <w:sz w:val="28"/>
          <w:szCs w:val="28"/>
        </w:rPr>
      </w:pPr>
      <w:r>
        <w:rPr>
          <w:rFonts w:hint="eastAsia"/>
          <w:sz w:val="28"/>
          <w:szCs w:val="28"/>
        </w:rPr>
        <w:t>1、及时调整乡村振兴机构。</w:t>
      </w:r>
    </w:p>
    <w:p>
      <w:pPr>
        <w:pStyle w:val="2"/>
        <w:widowControl w:val="0"/>
        <w:adjustRightInd/>
        <w:snapToGrid/>
        <w:spacing w:line="600" w:lineRule="exact"/>
        <w:ind w:left="0" w:firstLine="560" w:firstLineChars="200"/>
        <w:jc w:val="both"/>
        <w:rPr>
          <w:sz w:val="28"/>
          <w:szCs w:val="28"/>
        </w:rPr>
      </w:pPr>
      <w:r>
        <w:rPr>
          <w:rFonts w:hint="eastAsia"/>
          <w:sz w:val="28"/>
          <w:szCs w:val="28"/>
        </w:rPr>
        <w:t>2、科学调配驻村帮扶工作队伍。</w:t>
      </w:r>
    </w:p>
    <w:p>
      <w:pPr>
        <w:pStyle w:val="2"/>
        <w:widowControl w:val="0"/>
        <w:adjustRightInd/>
        <w:snapToGrid/>
        <w:spacing w:line="600" w:lineRule="exact"/>
        <w:ind w:left="0" w:firstLine="560" w:firstLineChars="200"/>
        <w:jc w:val="both"/>
        <w:rPr>
          <w:sz w:val="28"/>
          <w:szCs w:val="28"/>
        </w:rPr>
      </w:pPr>
      <w:r>
        <w:rPr>
          <w:rFonts w:hint="eastAsia"/>
          <w:sz w:val="28"/>
          <w:szCs w:val="28"/>
        </w:rPr>
        <w:t>3、抓好资金项目的谋划和推进。</w:t>
      </w:r>
    </w:p>
    <w:p>
      <w:pPr>
        <w:pStyle w:val="2"/>
        <w:widowControl w:val="0"/>
        <w:adjustRightInd/>
        <w:snapToGrid/>
        <w:spacing w:line="600" w:lineRule="exact"/>
        <w:ind w:left="0" w:firstLine="560" w:firstLineChars="200"/>
        <w:jc w:val="both"/>
        <w:rPr>
          <w:sz w:val="28"/>
          <w:szCs w:val="28"/>
        </w:rPr>
      </w:pPr>
      <w:r>
        <w:rPr>
          <w:rFonts w:hint="eastAsia"/>
          <w:sz w:val="28"/>
          <w:szCs w:val="28"/>
        </w:rPr>
        <w:t>（三）聚焦重点，加快推进</w:t>
      </w:r>
      <w:r>
        <w:rPr>
          <w:rFonts w:hint="eastAsia"/>
          <w:sz w:val="28"/>
          <w:szCs w:val="28"/>
          <w:lang w:eastAsia="zh-CN"/>
        </w:rPr>
        <w:t>巩固拓展脱贫攻坚成果同乡村振兴有效衔接</w:t>
      </w:r>
      <w:r>
        <w:rPr>
          <w:rFonts w:hint="eastAsia"/>
          <w:sz w:val="28"/>
          <w:szCs w:val="28"/>
        </w:rPr>
        <w:t>。</w:t>
      </w:r>
    </w:p>
    <w:p>
      <w:pPr>
        <w:pStyle w:val="2"/>
        <w:widowControl w:val="0"/>
        <w:adjustRightInd/>
        <w:snapToGrid/>
        <w:spacing w:line="600" w:lineRule="exact"/>
        <w:ind w:left="0" w:firstLine="560" w:firstLineChars="200"/>
        <w:jc w:val="both"/>
        <w:rPr>
          <w:sz w:val="28"/>
          <w:szCs w:val="28"/>
        </w:rPr>
      </w:pPr>
      <w:r>
        <w:rPr>
          <w:rFonts w:hint="eastAsia"/>
          <w:sz w:val="28"/>
          <w:szCs w:val="28"/>
        </w:rPr>
        <w:t>1、拓宽渠道，促进外出务工。</w:t>
      </w:r>
    </w:p>
    <w:p>
      <w:pPr>
        <w:pStyle w:val="2"/>
        <w:widowControl w:val="0"/>
        <w:adjustRightInd/>
        <w:snapToGrid/>
        <w:spacing w:line="600" w:lineRule="exact"/>
        <w:ind w:left="0" w:firstLine="560" w:firstLineChars="200"/>
        <w:jc w:val="both"/>
        <w:rPr>
          <w:sz w:val="28"/>
          <w:szCs w:val="28"/>
        </w:rPr>
      </w:pPr>
      <w:r>
        <w:rPr>
          <w:rFonts w:hint="eastAsia"/>
          <w:sz w:val="28"/>
          <w:szCs w:val="28"/>
        </w:rPr>
        <w:t>2、加大脱贫人口小额信贷力度。</w:t>
      </w:r>
    </w:p>
    <w:p>
      <w:pPr>
        <w:pStyle w:val="2"/>
        <w:widowControl w:val="0"/>
        <w:adjustRightInd/>
        <w:snapToGrid/>
        <w:spacing w:line="600" w:lineRule="exact"/>
        <w:ind w:left="0" w:firstLine="560" w:firstLineChars="200"/>
        <w:jc w:val="both"/>
        <w:rPr>
          <w:sz w:val="28"/>
          <w:szCs w:val="28"/>
        </w:rPr>
      </w:pPr>
      <w:r>
        <w:rPr>
          <w:rFonts w:hint="eastAsia"/>
          <w:sz w:val="28"/>
          <w:szCs w:val="28"/>
        </w:rPr>
        <w:t>3、大力发展光伏扶贫产业。</w:t>
      </w:r>
    </w:p>
    <w:p>
      <w:pPr>
        <w:pStyle w:val="2"/>
        <w:widowControl w:val="0"/>
        <w:adjustRightInd/>
        <w:snapToGrid/>
        <w:spacing w:line="600" w:lineRule="exact"/>
        <w:ind w:left="0" w:firstLine="560" w:firstLineChars="200"/>
        <w:jc w:val="both"/>
        <w:rPr>
          <w:sz w:val="28"/>
          <w:szCs w:val="28"/>
        </w:rPr>
      </w:pPr>
      <w:r>
        <w:rPr>
          <w:rFonts w:hint="eastAsia"/>
          <w:sz w:val="28"/>
          <w:szCs w:val="28"/>
        </w:rPr>
        <w:t>4、确保“雨露计划”资金发放精准。</w:t>
      </w:r>
    </w:p>
    <w:p>
      <w:pPr>
        <w:pStyle w:val="2"/>
        <w:widowControl w:val="0"/>
        <w:adjustRightInd/>
        <w:snapToGrid/>
        <w:spacing w:line="600" w:lineRule="exact"/>
        <w:ind w:left="0" w:firstLine="560" w:firstLineChars="200"/>
        <w:jc w:val="both"/>
        <w:rPr>
          <w:sz w:val="28"/>
          <w:szCs w:val="28"/>
        </w:rPr>
      </w:pPr>
      <w:r>
        <w:rPr>
          <w:rFonts w:hint="eastAsia"/>
          <w:sz w:val="28"/>
          <w:szCs w:val="28"/>
        </w:rPr>
        <w:t>5、扎实推进易地扶贫搬迁后续扶持。</w:t>
      </w:r>
    </w:p>
    <w:p>
      <w:pPr>
        <w:pStyle w:val="9"/>
        <w:widowControl w:val="0"/>
        <w:adjustRightInd/>
        <w:snapToGrid/>
        <w:spacing w:line="560" w:lineRule="exact"/>
        <w:ind w:left="0" w:leftChars="0" w:firstLine="560"/>
        <w:jc w:val="both"/>
        <w:rPr>
          <w:rFonts w:ascii="Tahoma" w:hAnsi="Tahoma" w:eastAsia="微软雅黑" w:cs="Times New Roman"/>
          <w:sz w:val="28"/>
          <w:szCs w:val="28"/>
        </w:rPr>
      </w:pPr>
      <w:r>
        <w:rPr>
          <w:rFonts w:hint="eastAsia" w:ascii="Tahoma" w:hAnsi="Tahoma" w:eastAsia="微软雅黑" w:cs="Times New Roman"/>
          <w:sz w:val="28"/>
          <w:szCs w:val="28"/>
        </w:rPr>
        <w:t>6、深入开展农村人居环境“六乱”整治百日攻坚专项行动。</w:t>
      </w:r>
    </w:p>
    <w:p>
      <w:pPr>
        <w:pStyle w:val="9"/>
        <w:widowControl w:val="0"/>
        <w:adjustRightInd/>
        <w:snapToGrid/>
        <w:spacing w:line="560" w:lineRule="exact"/>
        <w:ind w:left="0" w:leftChars="0" w:firstLine="560"/>
        <w:jc w:val="both"/>
        <w:rPr>
          <w:rFonts w:ascii="Tahoma" w:hAnsi="Tahoma" w:eastAsia="微软雅黑" w:cs="Times New Roman"/>
          <w:sz w:val="28"/>
          <w:szCs w:val="28"/>
        </w:rPr>
      </w:pPr>
      <w:r>
        <w:rPr>
          <w:rFonts w:hint="eastAsia" w:ascii="Tahoma" w:hAnsi="Tahoma" w:eastAsia="微软雅黑" w:cs="Times New Roman"/>
          <w:sz w:val="28"/>
          <w:szCs w:val="28"/>
        </w:rPr>
        <w:t>7、高标准高质量开展党史学习教育。</w:t>
      </w:r>
    </w:p>
    <w:p>
      <w:pPr>
        <w:spacing w:line="220" w:lineRule="atLeast"/>
        <w:rPr>
          <w:b/>
          <w:sz w:val="28"/>
          <w:szCs w:val="28"/>
        </w:rPr>
      </w:pPr>
      <w:r>
        <w:rPr>
          <w:rFonts w:hint="eastAsia"/>
          <w:b/>
          <w:sz w:val="28"/>
          <w:szCs w:val="28"/>
        </w:rPr>
        <w:t>第二部分 2021年度部门决算报表（见附表1）</w:t>
      </w:r>
    </w:p>
    <w:p>
      <w:pPr>
        <w:spacing w:line="220" w:lineRule="atLeast"/>
        <w:ind w:firstLine="560" w:firstLineChars="200"/>
        <w:rPr>
          <w:sz w:val="28"/>
          <w:szCs w:val="28"/>
        </w:rPr>
      </w:pPr>
      <w:r>
        <w:rPr>
          <w:rFonts w:hint="eastAsia"/>
          <w:sz w:val="28"/>
          <w:szCs w:val="28"/>
        </w:rPr>
        <w:t>一、收入支出决算总表</w:t>
      </w:r>
    </w:p>
    <w:p>
      <w:pPr>
        <w:spacing w:line="220" w:lineRule="atLeast"/>
        <w:ind w:firstLine="560" w:firstLineChars="200"/>
        <w:rPr>
          <w:sz w:val="28"/>
          <w:szCs w:val="28"/>
        </w:rPr>
      </w:pPr>
      <w:r>
        <w:rPr>
          <w:rFonts w:hint="eastAsia"/>
          <w:sz w:val="28"/>
          <w:szCs w:val="28"/>
        </w:rPr>
        <w:t>二、收入决算表</w:t>
      </w:r>
    </w:p>
    <w:p>
      <w:pPr>
        <w:spacing w:line="220" w:lineRule="atLeast"/>
        <w:ind w:firstLine="560" w:firstLineChars="200"/>
        <w:rPr>
          <w:sz w:val="28"/>
          <w:szCs w:val="28"/>
        </w:rPr>
      </w:pPr>
      <w:r>
        <w:rPr>
          <w:rFonts w:hint="eastAsia"/>
          <w:sz w:val="28"/>
          <w:szCs w:val="28"/>
        </w:rPr>
        <w:t>三、支出决算表</w:t>
      </w:r>
    </w:p>
    <w:p>
      <w:pPr>
        <w:spacing w:line="220" w:lineRule="atLeast"/>
        <w:ind w:firstLine="560" w:firstLineChars="200"/>
        <w:rPr>
          <w:sz w:val="28"/>
          <w:szCs w:val="28"/>
        </w:rPr>
      </w:pPr>
      <w:r>
        <w:rPr>
          <w:rFonts w:hint="eastAsia"/>
          <w:sz w:val="28"/>
          <w:szCs w:val="28"/>
        </w:rPr>
        <w:t>四、财政拨款收入支出决算总表</w:t>
      </w:r>
    </w:p>
    <w:p>
      <w:pPr>
        <w:spacing w:line="220" w:lineRule="atLeast"/>
        <w:ind w:firstLine="560" w:firstLineChars="200"/>
        <w:rPr>
          <w:sz w:val="28"/>
          <w:szCs w:val="28"/>
        </w:rPr>
      </w:pPr>
      <w:r>
        <w:rPr>
          <w:rFonts w:hint="eastAsia"/>
          <w:sz w:val="28"/>
          <w:szCs w:val="28"/>
        </w:rPr>
        <w:t>五、一般公共预算财政拨款支出决算表（一）</w:t>
      </w:r>
    </w:p>
    <w:p>
      <w:pPr>
        <w:spacing w:line="220" w:lineRule="atLeast"/>
        <w:ind w:firstLine="560" w:firstLineChars="200"/>
        <w:rPr>
          <w:sz w:val="28"/>
          <w:szCs w:val="28"/>
        </w:rPr>
      </w:pPr>
      <w:r>
        <w:rPr>
          <w:rFonts w:hint="eastAsia"/>
          <w:sz w:val="28"/>
          <w:szCs w:val="28"/>
        </w:rPr>
        <w:t>六、一般公共预算财政拨款支出决算表（二）</w:t>
      </w:r>
    </w:p>
    <w:p>
      <w:pPr>
        <w:spacing w:line="220" w:lineRule="atLeast"/>
        <w:ind w:firstLine="560" w:firstLineChars="200"/>
        <w:rPr>
          <w:sz w:val="28"/>
          <w:szCs w:val="28"/>
        </w:rPr>
      </w:pPr>
      <w:r>
        <w:rPr>
          <w:rFonts w:hint="eastAsia"/>
          <w:sz w:val="28"/>
          <w:szCs w:val="28"/>
        </w:rPr>
        <w:t>七、一般公共预算财政拨款“三公”经费支出决算表</w:t>
      </w:r>
    </w:p>
    <w:p>
      <w:pPr>
        <w:spacing w:line="220" w:lineRule="atLeast"/>
        <w:ind w:firstLine="560" w:firstLineChars="200"/>
        <w:rPr>
          <w:rFonts w:hint="eastAsia"/>
          <w:sz w:val="28"/>
          <w:szCs w:val="28"/>
        </w:rPr>
      </w:pPr>
      <w:r>
        <w:rPr>
          <w:rFonts w:hint="eastAsia"/>
          <w:sz w:val="28"/>
          <w:szCs w:val="28"/>
        </w:rPr>
        <w:t>八、政府性基金预算财政拨款收入支出决算表</w:t>
      </w:r>
    </w:p>
    <w:p>
      <w:pPr>
        <w:spacing w:line="220" w:lineRule="atLeast"/>
        <w:ind w:firstLine="560" w:firstLineChars="200"/>
        <w:rPr>
          <w:sz w:val="28"/>
          <w:szCs w:val="28"/>
        </w:rPr>
      </w:pPr>
      <w:r>
        <w:rPr>
          <w:rFonts w:hint="eastAsia"/>
          <w:sz w:val="28"/>
          <w:szCs w:val="28"/>
        </w:rPr>
        <w:t>九、国有资本经营预算财政   拨款支出决算表（注：我单位没有使用国有资本经营预算安排的支出，故本表无数据）</w:t>
      </w:r>
    </w:p>
    <w:p>
      <w:pPr>
        <w:spacing w:line="220" w:lineRule="atLeast"/>
        <w:ind w:firstLine="560" w:firstLineChars="200"/>
        <w:rPr>
          <w:sz w:val="28"/>
          <w:szCs w:val="28"/>
        </w:rPr>
      </w:pPr>
      <w:r>
        <w:rPr>
          <w:rFonts w:hint="eastAsia"/>
          <w:sz w:val="28"/>
          <w:szCs w:val="28"/>
        </w:rPr>
        <w:t>十、部门决算公开相关信息统计表</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2021年度收入总计8069.91万元、支出总计9848.15万元。与上年相比，收入总计增加-3650.37万元，增加-31.15%，支出总计增加-2203.65万元，增加-18.28%。主要原因是本年度减少易地扶贫搬迁等各项费用。</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8069.91万元，其中：财政拨款收入8016.91万元，占比99.34%；上级补助收入0万元，占比0%；事业收入0万元，占比0%；经营收入0万元，占比0%；附属单位上缴收入0万元，占比0%；其他收入53万元，占比0.66%。</w:t>
      </w:r>
    </w:p>
    <w:p>
      <w:pPr>
        <w:spacing w:line="220" w:lineRule="atLeast"/>
        <w:ind w:firstLine="560" w:firstLineChars="200"/>
        <w:rPr>
          <w:b/>
          <w:sz w:val="28"/>
          <w:szCs w:val="28"/>
        </w:rPr>
      </w:pPr>
      <w:r>
        <w:rPr>
          <w:rFonts w:hint="eastAsia"/>
          <w:b/>
          <w:sz w:val="28"/>
          <w:szCs w:val="28"/>
        </w:rPr>
        <w:t>三、支出决算情况说明</w:t>
      </w:r>
    </w:p>
    <w:p>
      <w:pPr>
        <w:widowControl w:val="0"/>
        <w:adjustRightInd/>
        <w:snapToGrid/>
        <w:spacing w:after="0" w:line="520" w:lineRule="exact"/>
        <w:ind w:firstLine="636"/>
        <w:jc w:val="both"/>
      </w:pPr>
      <w:r>
        <w:rPr>
          <w:rFonts w:hint="eastAsia"/>
          <w:sz w:val="28"/>
          <w:szCs w:val="28"/>
        </w:rPr>
        <w:t>2021年度支出合计9848.15万元，其中：基本支出116.84万元，占比1.19%；项目支出9731.31万元，占比98.81%；上缴上级支出0万元，占比0%，经营支出0万元，占比0%，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8016.91万元、支出总计8120.41万元。与上年相比，财政拨款收入总计增加2767.7万元，增加51.74%，财政拨款支出总计增加2520.11万元，增加45%。主要原因是增加同兴苑箱包厂扶贫车间购置设备、脱贫人口小额信贷贴息资金、2021年县级就业帮扶产业奖补资金、2020-2021年“雨露计划”资助金、，省派驻村工作队工作经费、2021年第四批衔接乡村振兴补助资金（产业园区、就业帮扶车间奖补资金）、产业扶贫贴息资金、创业致富带头人、驻村干部全覆盖等培训费、村级光伏产业发展项目资金、衔接推进乡村振兴项目管理费、2021年春节慰问费等资金。</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8113.91万元，占本年支出合计的82.39%。与上年相比，财政拨款支出增加2513.61万元，增加44.88%。主要原因是增加同兴苑箱包厂扶贫车间购置设备、脱贫人口小额信贷贴息资金、2021年县级就业帮扶产业奖补资金、2020-2021年“雨露计划”资助金、，省派驻村工作队工作经费、2021年第四批衔接乡村振兴补助资金（产业园区、就业帮扶车间奖补资金）、产业扶贫贴息资金、创业致富带头人、驻村干部全覆盖等培训费、村级光伏产业发展项目资金、衔接推进乡村振兴项目管理费、2021年春节慰问费等资金。其中，人员经费83.87万元，占比1.03%， 日常公用经费32.97万元，占比0.41%。</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2021年度财政拨款支出8113.91万元，主要用于以下方面：一般公共服务（类）支出0.88万元，占0.01%；社会保障和就业（类）支出10.8万元，</w:t>
      </w:r>
      <w:r>
        <w:rPr>
          <w:sz w:val="28"/>
          <w:szCs w:val="28"/>
        </w:rPr>
        <w:t xml:space="preserve"> </w:t>
      </w:r>
      <w:r>
        <w:rPr>
          <w:rFonts w:hint="eastAsia"/>
          <w:sz w:val="28"/>
          <w:szCs w:val="28"/>
        </w:rPr>
        <w:t>占0.13%；卫生健康（类）支出3.56万元，占0.04%；农林水（类）支出8091.93万元，占99.74%；住房保障（类）支出6.74万元，占0.08%。</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2021年度财政拨款支出年初预算404.36万元，支出决算8113.9万元，完成年初预算的2006.6%。其中：</w:t>
      </w:r>
    </w:p>
    <w:p>
      <w:pPr>
        <w:spacing w:line="220" w:lineRule="atLeast"/>
        <w:ind w:firstLine="560" w:firstLineChars="200"/>
        <w:rPr>
          <w:sz w:val="28"/>
          <w:szCs w:val="28"/>
        </w:rPr>
      </w:pPr>
      <w:r>
        <w:rPr>
          <w:rFonts w:hint="eastAsia"/>
          <w:sz w:val="28"/>
          <w:szCs w:val="28"/>
        </w:rPr>
        <w:t>一般公共服务支出年初预算0.88万元，支出决算0.88万元完成年初预算的100%，用于工会事务较上年决算增加-2.22万元，增长71.61%，主要原因人员减少，工会事务费用减少; 社会保障和就业支出年初预算7.46万元，支出决算10.8万元完成年初预算的144.77%，用于机关事业单位基本养老保险缴费支出较上年决算增加0.13万元，增长1.22%，主要原因调资工资增加，养老保险基数增加; 卫生健康支出年初预算3.17万元，支出决算3.56万元完成年初预算的1.3%，用于行政事业单位医疗较上年决算增加-2.34万元，增长-39.66%，主要原因人员减少;</w:t>
      </w:r>
      <w:r>
        <w:rPr>
          <w:rFonts w:hint="eastAsia"/>
        </w:rPr>
        <w:t xml:space="preserve"> </w:t>
      </w:r>
      <w:r>
        <w:rPr>
          <w:rFonts w:hint="eastAsia"/>
          <w:sz w:val="28"/>
          <w:szCs w:val="28"/>
        </w:rPr>
        <w:t>农林水支出年初预算387.06万元，支出决算8091.93万元完成年初预算的2090.61%，用于其他农业农村支出、其他扶贫支出等较上年决算增加6272.1万元，增长344.65%，主要原因本年度我单位增加同兴苑箱包厂扶贫车间购置设备、脱贫人口小额信贷贴息、雨露计划资助金、省派驻村工作队工作经费、市级衔接推进乡村振兴补助资金（奖补资金）、产业扶贫贷款贴息、创业致富带头人等培训，村级光伏产业发展项目资金、2021年春节慰问费等;</w:t>
      </w:r>
      <w:r>
        <w:rPr>
          <w:rFonts w:hint="eastAsia"/>
        </w:rPr>
        <w:t xml:space="preserve"> </w:t>
      </w:r>
      <w:r>
        <w:rPr>
          <w:rFonts w:hint="eastAsia"/>
          <w:sz w:val="28"/>
          <w:szCs w:val="28"/>
        </w:rPr>
        <w:t>住房保障支出年初预算5.79万元，支出决算6.74万元完成年初预算的116.41%，用于住房公积金较上年决算增加-4.12万元，增长37.94%，主要原因人员减少。</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2021年度财政拨款基本支出116.84万元，其中：人员经费83.87万元，主要包括工资和社保支出；公用经费32.97万元，主要包括主要包括日常办公费支出。</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2021年度“三公”经费财政拨款支出预算0万元，支出决算0万元，完成预算的0%，比上年增加0万元，增长-0%，主要原因是：无。</w:t>
      </w:r>
    </w:p>
    <w:p>
      <w:pPr>
        <w:spacing w:line="220" w:lineRule="atLeast"/>
        <w:ind w:firstLine="560" w:firstLineChars="200"/>
        <w:rPr>
          <w:b/>
          <w:sz w:val="28"/>
          <w:szCs w:val="28"/>
        </w:rPr>
      </w:pPr>
      <w:r>
        <w:rPr>
          <w:rFonts w:hint="eastAsia"/>
          <w:b/>
          <w:sz w:val="28"/>
          <w:szCs w:val="28"/>
        </w:rPr>
        <w:t>（二）“三公”经费财政拨款支出决算具体情况说明。</w:t>
      </w:r>
    </w:p>
    <w:p>
      <w:pPr>
        <w:spacing w:line="220" w:lineRule="atLeast"/>
        <w:ind w:firstLine="560" w:firstLineChars="200"/>
        <w:rPr>
          <w:sz w:val="28"/>
          <w:szCs w:val="28"/>
        </w:rPr>
      </w:pPr>
      <w:r>
        <w:rPr>
          <w:rFonts w:hint="eastAsia"/>
          <w:sz w:val="28"/>
          <w:szCs w:val="28"/>
        </w:rPr>
        <w:t>我单位本年度无“三公”经费支出。</w:t>
      </w:r>
    </w:p>
    <w:p>
      <w:pPr>
        <w:widowControl w:val="0"/>
        <w:adjustRightInd/>
        <w:snapToGrid/>
        <w:spacing w:after="0" w:line="520" w:lineRule="exact"/>
        <w:ind w:firstLine="635"/>
        <w:jc w:val="both"/>
        <w:rPr>
          <w:rFonts w:ascii="仿宋_GB2312" w:hAnsi="楷体" w:eastAsia="仿宋_GB2312"/>
          <w:b/>
          <w:kern w:val="2"/>
          <w:sz w:val="32"/>
          <w:szCs w:val="32"/>
        </w:rPr>
      </w:pPr>
      <w:r>
        <w:rPr>
          <w:rFonts w:hint="eastAsia" w:ascii="仿宋_GB2312" w:hAnsi="楷体" w:eastAsia="仿宋_GB2312"/>
          <w:b/>
          <w:kern w:val="2"/>
          <w:sz w:val="32"/>
          <w:szCs w:val="32"/>
        </w:rPr>
        <w:t>（1）与预算数比较</w:t>
      </w:r>
    </w:p>
    <w:tbl>
      <w:tblPr>
        <w:tblStyle w:val="10"/>
        <w:tblW w:w="8381" w:type="dxa"/>
        <w:tblInd w:w="91" w:type="dxa"/>
        <w:tblLayout w:type="fixed"/>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2021三公经费明细</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预算数（万元）</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决算数（万元）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b/>
                <w:bCs/>
                <w:color w:val="000000"/>
              </w:rPr>
            </w:pPr>
            <w:r>
              <w:rPr>
                <w:rFonts w:hint="eastAsia" w:ascii="宋体" w:hAnsi="宋体" w:eastAsia="宋体" w:cs="宋体"/>
                <w:b/>
                <w:bCs/>
                <w:color w:val="00000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rPr>
            </w:pPr>
            <w:r>
              <w:rPr>
                <w:rFonts w:hint="eastAsia" w:ascii="宋体" w:hAnsi="宋体" w:eastAsia="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bl>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10"/>
        <w:tblW w:w="8431" w:type="dxa"/>
        <w:tblInd w:w="91" w:type="dxa"/>
        <w:tblLayout w:type="fixed"/>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eastAsia="宋体" w:cs="宋体"/>
                <w:b/>
                <w:bCs/>
                <w:color w:val="000000"/>
              </w:rPr>
            </w:pPr>
            <w:r>
              <w:rPr>
                <w:rFonts w:hint="eastAsia" w:ascii="宋体" w:hAnsi="宋体" w:eastAsia="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rPr>
            </w:pPr>
            <w:r>
              <w:rPr>
                <w:rFonts w:hint="eastAsia" w:ascii="宋体" w:hAnsi="宋体" w:eastAsia="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eastAsia="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ascii="宋体" w:hAnsi="宋体" w:eastAsia="宋体" w:cs="宋体"/>
                <w:b/>
                <w:bCs/>
                <w:color w:val="000000"/>
              </w:rPr>
            </w:pPr>
            <w:r>
              <w:rPr>
                <w:rFonts w:hint="eastAsia" w:ascii="宋体" w:hAnsi="宋体" w:eastAsia="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因公出国（境）费</w:t>
            </w:r>
          </w:p>
        </w:tc>
        <w:tc>
          <w:tcPr>
            <w:tcW w:w="1701"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公务用车购置及运行维护费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rPr>
            </w:pPr>
            <w:r>
              <w:rPr>
                <w:rFonts w:hint="eastAsia" w:ascii="宋体" w:hAnsi="宋体" w:eastAsia="宋体" w:cs="宋体"/>
                <w:color w:val="000000"/>
              </w:rPr>
              <w:t>公务接待费</w:t>
            </w:r>
          </w:p>
        </w:tc>
        <w:tc>
          <w:tcPr>
            <w:tcW w:w="1701"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418"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c>
          <w:tcPr>
            <w:tcW w:w="1184"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000000"/>
              </w:rPr>
            </w:pP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spacing w:line="220" w:lineRule="atLeast"/>
        <w:ind w:firstLine="560" w:firstLineChars="200"/>
        <w:rPr>
          <w:sz w:val="28"/>
          <w:szCs w:val="28"/>
        </w:rPr>
      </w:pPr>
      <w:r>
        <w:rPr>
          <w:rFonts w:hint="eastAsia"/>
          <w:sz w:val="28"/>
          <w:szCs w:val="28"/>
        </w:rPr>
        <w:t>2021年一般公共预算安排的“三公”经费年初预算0万元，支出决算0万元，完成年初预算的0%，比上年增加0万元，增长0%。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初预算0万元，支出决算0万元，完成年初预算的0%，比上年增加0万元，增长0%（具体：其中公务用车购置费年初预算0万元，支出决算0万元，完成年初预算的0%，比上年增加0万元，增长0%，原因是我部门2021年度未购置公务用车；公务用车运行维护费年初预算0万元，支出决算0万元，完成年初预算的0%，比上年增加0万元，增长0%，原因是由于疫情下乡减少）；公务接待费年初预算0万元，支出决算　0万元，完成年初预算的0%，比上年增加0万元，增长0%，原因是由于疫情接待取消（全年年使用一般公共预算拨款开支的国内公务接待0批次，0人次。）</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 xml:space="preserve">2021年机关运行经费支出32.97万元（与部门决算中行政单位和参照公务员法管理的事业单位一般公共预算财政拨款基本支出中公用经费之和保持一致），比上年增加-22.5万元，增长-40.56%。主要原因是：工作经费减少，财政资金缩减。 </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36.05万元，其中：政府采购货物支出11.15万元、政府采购工程支出0万元、政府采购服务支出24.9万元。政府采购授予中小企业合同金额0万元，占政府采购支出总额的0%。其中：授予小微企业合同金额0万元，占政府采购支出总额的0%.</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spacing w:line="220" w:lineRule="atLeast"/>
        <w:ind w:firstLine="560" w:firstLineChars="200"/>
        <w:rPr>
          <w:sz w:val="28"/>
          <w:szCs w:val="28"/>
        </w:rPr>
      </w:pPr>
      <w:r>
        <w:rPr>
          <w:rFonts w:hint="eastAsia"/>
          <w:sz w:val="28"/>
          <w:szCs w:val="28"/>
        </w:rPr>
        <w:t>截至2021年12月31日，本部门共有房屋0平方米，价值为0万元，其中办公用房0平方米，价值为0万元；业务用房0平方米，价值为0万元；其他（不含构筑物）0平方米，价值为0万元。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专用设备0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3个项目支出全面开展绩效自评，涉及预算资金316.68万元，占一般公共预算项目支出总额的78.32%。组织对2021年度0个政府性基金预算项目支出开展绩效自评，共涉及预算资金0万元，占政府性基金预算项目支出总额的0%。</w:t>
      </w:r>
    </w:p>
    <w:p>
      <w:pPr>
        <w:pStyle w:val="2"/>
        <w:ind w:left="0" w:firstLine="560" w:firstLineChars="200"/>
        <w:rPr>
          <w:sz w:val="28"/>
          <w:szCs w:val="28"/>
        </w:rPr>
      </w:pPr>
      <w:r>
        <w:rPr>
          <w:rFonts w:hint="eastAsia"/>
          <w:sz w:val="28"/>
          <w:szCs w:val="28"/>
        </w:rPr>
        <w:t>组织对“2020年村级光伏电站项目”1个项目开展了部门评价，涉及一般公共预算支出3725万元，政府性基金预算支出0万元。其中，对“村级光伏电站项目”项目委托“山西国元会计师事务所”第三方机构开展绩效评价。从评价情况来看， 项目按照预期情况完成，达到预期目标。完成预期效果。</w:t>
      </w:r>
    </w:p>
    <w:p>
      <w:pPr>
        <w:spacing w:line="220" w:lineRule="atLeast"/>
        <w:ind w:firstLine="560" w:firstLineChars="200"/>
        <w:rPr>
          <w:sz w:val="28"/>
          <w:szCs w:val="28"/>
        </w:rPr>
      </w:pPr>
      <w:r>
        <w:rPr>
          <w:rFonts w:hint="eastAsia"/>
          <w:b/>
          <w:sz w:val="28"/>
          <w:szCs w:val="28"/>
        </w:rPr>
        <w:t>（2）部门决算中项目绩效自评结果。</w:t>
      </w:r>
      <w:r>
        <w:rPr>
          <w:rFonts w:hint="eastAsia"/>
          <w:sz w:val="28"/>
          <w:szCs w:val="28"/>
        </w:rPr>
        <w:t>村级信息员服务费绩效自评综述：根据年初设定的绩效目标，项目自评得分为100分。全年预算数为65万元，执行数为60.44万元，完成预算的92.98%。项目绩效目标完成情况：一是专款专用率100%；二是资金拨付及时性100%；三是服务对象满意度90%；四是保障贫困人口各项数据准确；五是按每户30元/年全部拨付到位。</w:t>
      </w:r>
    </w:p>
    <w:p>
      <w:pPr>
        <w:spacing w:line="220" w:lineRule="atLeast"/>
        <w:ind w:firstLine="560" w:firstLineChars="200"/>
        <w:rPr>
          <w:sz w:val="28"/>
          <w:szCs w:val="28"/>
        </w:rPr>
      </w:pPr>
      <w:r>
        <w:rPr>
          <w:rFonts w:hint="eastAsia"/>
          <w:sz w:val="28"/>
          <w:szCs w:val="28"/>
        </w:rPr>
        <w:t>未发现其他问题。</w:t>
      </w:r>
    </w:p>
    <w:p>
      <w:pPr>
        <w:spacing w:line="220" w:lineRule="atLeast"/>
        <w:ind w:firstLine="560" w:firstLineChars="200"/>
        <w:rPr>
          <w:rFonts w:ascii="微软雅黑" w:hAnsi="微软雅黑" w:cs="微软雅黑"/>
          <w:sz w:val="28"/>
          <w:szCs w:val="28"/>
        </w:rPr>
      </w:pPr>
      <w:r>
        <w:rPr>
          <w:rFonts w:hint="eastAsia"/>
          <w:sz w:val="28"/>
          <w:szCs w:val="28"/>
        </w:rPr>
        <w:t>县派驻村第一书记、工作队生活交通补贴绩效自评综述：根据年初设</w:t>
      </w:r>
      <w:r>
        <w:rPr>
          <w:rFonts w:hint="eastAsia" w:ascii="微软雅黑" w:hAnsi="微软雅黑" w:cs="微软雅黑"/>
          <w:sz w:val="28"/>
          <w:szCs w:val="28"/>
        </w:rPr>
        <w:t>定的绩效目标，项目自评得分为94.17分。全年预算数为250万元，执行数为226.5万元，完成预算的90.6%。项目绩效目标完成情况：一是县派驻村第一书记、工作队生活补贴全部拨付到位；二是巩牢脱贫攻坚成果；三是提高了第一书记工作队工作积极性。</w:t>
      </w:r>
    </w:p>
    <w:p>
      <w:pPr>
        <w:spacing w:line="220" w:lineRule="atLeast"/>
        <w:ind w:firstLine="560" w:firstLineChars="200"/>
        <w:rPr>
          <w:rFonts w:ascii="微软雅黑" w:hAnsi="微软雅黑" w:cs="微软雅黑"/>
          <w:sz w:val="28"/>
          <w:szCs w:val="28"/>
        </w:rPr>
      </w:pPr>
      <w:r>
        <w:rPr>
          <w:rFonts w:hint="eastAsia" w:ascii="微软雅黑" w:hAnsi="微软雅黑" w:cs="微软雅黑"/>
          <w:sz w:val="28"/>
          <w:szCs w:val="28"/>
        </w:rPr>
        <w:t>未发现其他问题。</w:t>
      </w:r>
    </w:p>
    <w:p>
      <w:pPr>
        <w:spacing w:line="220" w:lineRule="atLeast"/>
        <w:ind w:firstLine="560" w:firstLineChars="200"/>
        <w:rPr>
          <w:rFonts w:ascii="微软雅黑" w:hAnsi="微软雅黑" w:cs="微软雅黑"/>
          <w:sz w:val="28"/>
          <w:szCs w:val="28"/>
        </w:rPr>
      </w:pPr>
      <w:r>
        <w:rPr>
          <w:rFonts w:hint="eastAsia" w:ascii="微软雅黑" w:hAnsi="微软雅黑" w:cs="微软雅黑"/>
          <w:sz w:val="28"/>
          <w:szCs w:val="28"/>
        </w:rPr>
        <w:t>工作经费绩效自评综述：根据年初设定的绩效目标，项目自评得分为100分。全年预算数为29.75万元，执行数为29.75万元，完成预算的100%。项目绩效目标完成情况：及时按需拨付经费，保障日常工作的正常开展，提高了服务对象满意度。</w:t>
      </w:r>
    </w:p>
    <w:p>
      <w:pPr>
        <w:spacing w:line="220" w:lineRule="atLeast"/>
        <w:ind w:firstLine="560" w:firstLineChars="200"/>
        <w:rPr>
          <w:rFonts w:ascii="微软雅黑" w:hAnsi="微软雅黑" w:cs="微软雅黑"/>
          <w:sz w:val="28"/>
          <w:szCs w:val="28"/>
        </w:rPr>
      </w:pPr>
      <w:r>
        <w:rPr>
          <w:rFonts w:hint="eastAsia" w:ascii="微软雅黑" w:hAnsi="微软雅黑" w:cs="微软雅黑"/>
          <w:sz w:val="28"/>
          <w:szCs w:val="28"/>
        </w:rPr>
        <w:t>未发现其他问题。</w:t>
      </w:r>
    </w:p>
    <w:p>
      <w:pPr>
        <w:numPr>
          <w:ilvl w:val="0"/>
          <w:numId w:val="1"/>
        </w:numPr>
        <w:spacing w:line="220" w:lineRule="atLeast"/>
        <w:ind w:firstLine="560" w:firstLineChars="200"/>
        <w:rPr>
          <w:sz w:val="28"/>
          <w:szCs w:val="28"/>
        </w:rPr>
      </w:pPr>
      <w:r>
        <w:rPr>
          <w:rFonts w:hint="eastAsia"/>
          <w:b/>
          <w:sz w:val="28"/>
          <w:szCs w:val="28"/>
        </w:rPr>
        <w:t>部门评价项目绩效评价结果。</w:t>
      </w:r>
    </w:p>
    <w:p>
      <w:pPr>
        <w:pStyle w:val="2"/>
        <w:ind w:left="0"/>
        <w:jc w:val="center"/>
      </w:pPr>
      <w:r>
        <w:rPr>
          <w:rFonts w:hint="eastAsia"/>
          <w:b/>
          <w:bCs/>
          <w:sz w:val="28"/>
          <w:szCs w:val="28"/>
        </w:rPr>
        <w:t>2020年村级光伏电站项目资金支出绩效评价报告</w:t>
      </w:r>
    </w:p>
    <w:p>
      <w:pPr>
        <w:pStyle w:val="2"/>
        <w:ind w:left="0"/>
        <w:jc w:val="both"/>
        <w:rPr>
          <w:sz w:val="28"/>
          <w:szCs w:val="28"/>
        </w:rPr>
      </w:pPr>
      <w:r>
        <w:rPr>
          <w:rFonts w:hint="eastAsia"/>
          <w:sz w:val="28"/>
          <w:szCs w:val="28"/>
        </w:rPr>
        <w:t xml:space="preserve">       平顺县光伏发电清洁环保、技术可靠、收益稳定，既适合建设户用电站和村级小电站，也适合建设较大规模的集中式电站，还可结合农业、林业等开展多种“光伏+”应用。在有光照资源条件较好的地区因地制宜开展光伏扶贫，既符合精准扶贫、精准脱贫战略，又符合国家清洁低碳能源发展战略；既有利于扩大光伏发电市场，又有利于促进贫困人口稳收增收。光伏扶贫是国务院扶贫办2015年确定实施的“十大精准扶贫工程”之一，充分利用贫困地区太阳能资源丰富的优势，通过开发太阳能资源、持续性产生稳定收益，可实现扶贫开发和新能源利用、节能减排相结合。</w:t>
      </w:r>
    </w:p>
    <w:p>
      <w:pPr>
        <w:pStyle w:val="2"/>
        <w:ind w:left="0" w:firstLine="560" w:firstLineChars="200"/>
        <w:jc w:val="both"/>
        <w:rPr>
          <w:sz w:val="28"/>
          <w:szCs w:val="28"/>
        </w:rPr>
      </w:pPr>
      <w:r>
        <w:rPr>
          <w:rFonts w:hint="eastAsia"/>
          <w:sz w:val="28"/>
          <w:szCs w:val="28"/>
        </w:rPr>
        <w:t>通过绩效评价，查找专项资金投入、使用、监管及项目管理中存在的问题，总结经验，分析原因并就提出改进建议。</w:t>
      </w:r>
    </w:p>
    <w:p>
      <w:pPr>
        <w:pStyle w:val="2"/>
        <w:ind w:left="0" w:firstLine="560" w:firstLineChars="200"/>
        <w:jc w:val="both"/>
        <w:rPr>
          <w:sz w:val="28"/>
          <w:szCs w:val="28"/>
        </w:rPr>
      </w:pPr>
      <w:r>
        <w:rPr>
          <w:rFonts w:hint="eastAsia"/>
          <w:sz w:val="28"/>
          <w:szCs w:val="28"/>
        </w:rPr>
        <w:t>平顺县2020年村级光伏电站项目绩效评价得分87.81分，评价等级为“良”。项目具体权重和得分情况见下表。</w:t>
      </w:r>
    </w:p>
    <w:p>
      <w:pPr>
        <w:spacing w:before="200"/>
        <w:jc w:val="center"/>
        <w:rPr>
          <w:rFonts w:ascii="黑体" w:hAnsi="黑体" w:eastAsia="黑体" w:cs="宋体"/>
          <w:sz w:val="28"/>
          <w:szCs w:val="28"/>
        </w:rPr>
      </w:pPr>
      <w:r>
        <w:rPr>
          <w:rFonts w:hint="eastAsia" w:ascii="黑体" w:hAnsi="黑体" w:eastAsia="黑体" w:cs="宋体"/>
          <w:sz w:val="28"/>
          <w:szCs w:val="28"/>
        </w:rPr>
        <w:t xml:space="preserve"> 项目总体绩效评价评分表</w:t>
      </w:r>
    </w:p>
    <w:tbl>
      <w:tblPr>
        <w:tblStyle w:val="11"/>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2010"/>
        <w:gridCol w:w="201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010" w:type="dxa"/>
            <w:shd w:val="clear" w:color="auto" w:fill="A5A5A5" w:themeFill="background1" w:themeFillShade="A6"/>
            <w:vAlign w:val="center"/>
          </w:tcPr>
          <w:p>
            <w:pPr>
              <w:spacing w:after="0" w:line="320" w:lineRule="exact"/>
              <w:jc w:val="center"/>
              <w:rPr>
                <w:rFonts w:ascii="仿宋" w:hAnsi="仿宋" w:eastAsia="仿宋" w:cs="宋体"/>
                <w:b/>
                <w:sz w:val="24"/>
              </w:rPr>
            </w:pPr>
            <w:r>
              <w:rPr>
                <w:rFonts w:hint="eastAsia" w:ascii="仿宋" w:hAnsi="仿宋" w:eastAsia="仿宋" w:cs="宋体"/>
                <w:b/>
                <w:sz w:val="24"/>
              </w:rPr>
              <w:t>一级指标</w:t>
            </w:r>
          </w:p>
        </w:tc>
        <w:tc>
          <w:tcPr>
            <w:tcW w:w="2010" w:type="dxa"/>
            <w:shd w:val="clear" w:color="auto" w:fill="A5A5A5" w:themeFill="background1" w:themeFillShade="A6"/>
            <w:vAlign w:val="center"/>
          </w:tcPr>
          <w:p>
            <w:pPr>
              <w:spacing w:after="0" w:line="320" w:lineRule="exact"/>
              <w:jc w:val="center"/>
              <w:rPr>
                <w:rFonts w:ascii="仿宋" w:hAnsi="仿宋" w:eastAsia="仿宋" w:cs="宋体"/>
                <w:b/>
                <w:sz w:val="24"/>
              </w:rPr>
            </w:pPr>
            <w:r>
              <w:rPr>
                <w:rFonts w:hint="eastAsia" w:ascii="仿宋" w:hAnsi="仿宋" w:eastAsia="仿宋" w:cs="宋体"/>
                <w:b/>
                <w:sz w:val="24"/>
              </w:rPr>
              <w:t>权重</w:t>
            </w:r>
          </w:p>
        </w:tc>
        <w:tc>
          <w:tcPr>
            <w:tcW w:w="2010" w:type="dxa"/>
            <w:shd w:val="clear" w:color="auto" w:fill="A5A5A5" w:themeFill="background1" w:themeFillShade="A6"/>
            <w:vAlign w:val="center"/>
          </w:tcPr>
          <w:p>
            <w:pPr>
              <w:spacing w:after="0" w:line="320" w:lineRule="exact"/>
              <w:jc w:val="center"/>
              <w:rPr>
                <w:rFonts w:ascii="仿宋" w:hAnsi="仿宋" w:eastAsia="仿宋" w:cs="宋体"/>
                <w:b/>
                <w:sz w:val="24"/>
              </w:rPr>
            </w:pPr>
            <w:r>
              <w:rPr>
                <w:rFonts w:hint="eastAsia" w:ascii="仿宋" w:hAnsi="仿宋" w:eastAsia="仿宋" w:cs="宋体"/>
                <w:b/>
                <w:sz w:val="24"/>
              </w:rPr>
              <w:t>得分</w:t>
            </w:r>
          </w:p>
        </w:tc>
        <w:tc>
          <w:tcPr>
            <w:tcW w:w="2102" w:type="dxa"/>
            <w:shd w:val="clear" w:color="auto" w:fill="A5A5A5" w:themeFill="background1" w:themeFillShade="A6"/>
            <w:vAlign w:val="center"/>
          </w:tcPr>
          <w:p>
            <w:pPr>
              <w:spacing w:after="0" w:line="320" w:lineRule="exact"/>
              <w:jc w:val="center"/>
              <w:rPr>
                <w:rFonts w:ascii="仿宋" w:hAnsi="仿宋" w:eastAsia="仿宋" w:cs="宋体"/>
                <w:b/>
                <w:sz w:val="24"/>
              </w:rPr>
            </w:pPr>
            <w:r>
              <w:rPr>
                <w:rFonts w:hint="eastAsia" w:ascii="仿宋" w:hAnsi="仿宋" w:eastAsia="仿宋" w:cs="宋体"/>
                <w:b/>
                <w:sz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0" w:type="dxa"/>
            <w:vAlign w:val="center"/>
          </w:tcPr>
          <w:p>
            <w:pPr>
              <w:spacing w:after="0"/>
              <w:jc w:val="center"/>
              <w:rPr>
                <w:rFonts w:ascii="仿宋" w:hAnsi="仿宋" w:eastAsia="仿宋" w:cs="宋体"/>
                <w:sz w:val="24"/>
              </w:rPr>
            </w:pPr>
            <w:r>
              <w:rPr>
                <w:rFonts w:hint="eastAsia" w:ascii="仿宋" w:hAnsi="仿宋" w:eastAsia="仿宋" w:cs="宋体"/>
                <w:sz w:val="24"/>
              </w:rPr>
              <w:t>决策</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20</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16.5</w:t>
            </w:r>
          </w:p>
        </w:tc>
        <w:tc>
          <w:tcPr>
            <w:tcW w:w="2102" w:type="dxa"/>
            <w:vAlign w:val="center"/>
          </w:tcPr>
          <w:p>
            <w:pPr>
              <w:spacing w:after="0"/>
              <w:jc w:val="center"/>
              <w:rPr>
                <w:rFonts w:ascii="仿宋" w:hAnsi="仿宋" w:eastAsia="仿宋" w:cs="宋体"/>
                <w:sz w:val="24"/>
              </w:rPr>
            </w:pPr>
            <w:r>
              <w:rPr>
                <w:rFonts w:hint="eastAsia" w:ascii="Times New Roman" w:hAnsi="Times New Roman" w:eastAsia="仿宋" w:cs="宋体"/>
                <w:sz w:val="24"/>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0" w:type="dxa"/>
            <w:vAlign w:val="center"/>
          </w:tcPr>
          <w:p>
            <w:pPr>
              <w:spacing w:after="0"/>
              <w:jc w:val="center"/>
              <w:rPr>
                <w:rFonts w:ascii="仿宋" w:hAnsi="仿宋" w:eastAsia="仿宋" w:cs="宋体"/>
                <w:sz w:val="24"/>
              </w:rPr>
            </w:pPr>
            <w:r>
              <w:rPr>
                <w:rFonts w:hint="eastAsia" w:ascii="仿宋" w:hAnsi="仿宋" w:eastAsia="仿宋" w:cs="宋体"/>
                <w:sz w:val="24"/>
              </w:rPr>
              <w:t>过程</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20</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15.71</w:t>
            </w:r>
          </w:p>
        </w:tc>
        <w:tc>
          <w:tcPr>
            <w:tcW w:w="2102" w:type="dxa"/>
            <w:vAlign w:val="center"/>
          </w:tcPr>
          <w:p>
            <w:pPr>
              <w:spacing w:after="0"/>
              <w:jc w:val="center"/>
              <w:rPr>
                <w:rFonts w:ascii="仿宋" w:hAnsi="仿宋" w:eastAsia="仿宋" w:cs="宋体"/>
                <w:sz w:val="24"/>
              </w:rPr>
            </w:pPr>
            <w:r>
              <w:rPr>
                <w:rFonts w:hint="eastAsia" w:ascii="Times New Roman" w:hAnsi="Times New Roman" w:eastAsia="仿宋" w:cs="宋体"/>
                <w:sz w:val="24"/>
              </w:rPr>
              <w:t>78.55%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0" w:type="dxa"/>
            <w:vAlign w:val="center"/>
          </w:tcPr>
          <w:p>
            <w:pPr>
              <w:spacing w:after="0"/>
              <w:jc w:val="center"/>
              <w:rPr>
                <w:rFonts w:ascii="仿宋" w:hAnsi="仿宋" w:eastAsia="仿宋" w:cs="宋体"/>
                <w:sz w:val="24"/>
              </w:rPr>
            </w:pPr>
            <w:r>
              <w:rPr>
                <w:rFonts w:hint="eastAsia" w:ascii="仿宋" w:hAnsi="仿宋" w:eastAsia="仿宋" w:cs="宋体"/>
                <w:sz w:val="24"/>
              </w:rPr>
              <w:t>产出</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30</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30</w:t>
            </w:r>
          </w:p>
        </w:tc>
        <w:tc>
          <w:tcPr>
            <w:tcW w:w="2102" w:type="dxa"/>
            <w:vAlign w:val="center"/>
          </w:tcPr>
          <w:p>
            <w:pPr>
              <w:spacing w:after="0"/>
              <w:jc w:val="center"/>
              <w:rPr>
                <w:rFonts w:ascii="仿宋" w:hAnsi="仿宋" w:eastAsia="仿宋" w:cs="宋体"/>
                <w:sz w:val="24"/>
              </w:rPr>
            </w:pPr>
            <w:r>
              <w:rPr>
                <w:rFonts w:hint="eastAsia" w:ascii="Times New Roman" w:hAnsi="Times New Roman" w:eastAsia="仿宋"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0" w:type="dxa"/>
            <w:vAlign w:val="center"/>
          </w:tcPr>
          <w:p>
            <w:pPr>
              <w:spacing w:after="0"/>
              <w:jc w:val="center"/>
              <w:rPr>
                <w:rFonts w:ascii="仿宋" w:hAnsi="仿宋" w:eastAsia="仿宋" w:cs="宋体"/>
                <w:sz w:val="24"/>
              </w:rPr>
            </w:pPr>
            <w:r>
              <w:rPr>
                <w:rFonts w:hint="eastAsia" w:ascii="仿宋" w:hAnsi="仿宋" w:eastAsia="仿宋" w:cs="宋体"/>
                <w:sz w:val="24"/>
              </w:rPr>
              <w:t>效益</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30</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25.6</w:t>
            </w:r>
          </w:p>
        </w:tc>
        <w:tc>
          <w:tcPr>
            <w:tcW w:w="2102" w:type="dxa"/>
            <w:vAlign w:val="center"/>
          </w:tcPr>
          <w:p>
            <w:pPr>
              <w:spacing w:after="0"/>
              <w:jc w:val="center"/>
              <w:rPr>
                <w:rFonts w:ascii="仿宋" w:hAnsi="仿宋" w:eastAsia="仿宋" w:cs="宋体"/>
                <w:sz w:val="24"/>
              </w:rPr>
            </w:pPr>
            <w:r>
              <w:rPr>
                <w:rFonts w:hint="eastAsia" w:ascii="Times New Roman" w:hAnsi="Times New Roman" w:eastAsia="仿宋" w:cs="宋体"/>
                <w:sz w:val="24"/>
              </w:rPr>
              <w:t>85.33%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10" w:type="dxa"/>
            <w:vAlign w:val="center"/>
          </w:tcPr>
          <w:p>
            <w:pPr>
              <w:spacing w:after="0"/>
              <w:jc w:val="center"/>
              <w:rPr>
                <w:rFonts w:ascii="仿宋" w:hAnsi="仿宋" w:eastAsia="仿宋" w:cs="宋体"/>
                <w:sz w:val="24"/>
                <w:szCs w:val="24"/>
              </w:rPr>
            </w:pPr>
            <w:r>
              <w:rPr>
                <w:rFonts w:hint="eastAsia" w:ascii="仿宋" w:hAnsi="仿宋" w:eastAsia="仿宋" w:cs="宋体"/>
                <w:sz w:val="24"/>
                <w:szCs w:val="24"/>
              </w:rPr>
              <w:t>合计</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szCs w:val="24"/>
              </w:rPr>
              <w:t>100</w:t>
            </w:r>
          </w:p>
        </w:tc>
        <w:tc>
          <w:tcPr>
            <w:tcW w:w="2010" w:type="dxa"/>
            <w:vAlign w:val="center"/>
          </w:tcPr>
          <w:p>
            <w:pPr>
              <w:spacing w:after="0"/>
              <w:jc w:val="center"/>
              <w:rPr>
                <w:rFonts w:ascii="仿宋" w:hAnsi="仿宋" w:eastAsia="仿宋" w:cs="宋体"/>
                <w:sz w:val="24"/>
              </w:rPr>
            </w:pPr>
            <w:r>
              <w:rPr>
                <w:rFonts w:hint="eastAsia" w:ascii="Times New Roman" w:hAnsi="Times New Roman" w:eastAsia="仿宋" w:cs="宋体"/>
                <w:sz w:val="24"/>
              </w:rPr>
              <w:t>87.81</w:t>
            </w:r>
          </w:p>
        </w:tc>
        <w:tc>
          <w:tcPr>
            <w:tcW w:w="2102" w:type="dxa"/>
            <w:vAlign w:val="center"/>
          </w:tcPr>
          <w:p>
            <w:pPr>
              <w:spacing w:after="0"/>
              <w:jc w:val="center"/>
              <w:rPr>
                <w:rFonts w:ascii="仿宋" w:hAnsi="仿宋" w:eastAsia="仿宋" w:cs="宋体"/>
                <w:sz w:val="24"/>
              </w:rPr>
            </w:pPr>
            <w:r>
              <w:rPr>
                <w:rFonts w:hint="eastAsia" w:ascii="Times New Roman" w:hAnsi="Times New Roman" w:eastAsia="仿宋" w:cs="宋体"/>
                <w:sz w:val="24"/>
              </w:rPr>
              <w:t>87.81%</w:t>
            </w:r>
          </w:p>
        </w:tc>
      </w:tr>
    </w:tbl>
    <w:p>
      <w:pPr>
        <w:pStyle w:val="3"/>
        <w:spacing w:line="240" w:lineRule="auto"/>
        <w:ind w:firstLine="560" w:firstLineChars="200"/>
        <w:rPr>
          <w:rFonts w:ascii="Tahoma" w:hAnsi="Tahoma" w:eastAsia="微软雅黑"/>
          <w:sz w:val="28"/>
          <w:szCs w:val="28"/>
        </w:rPr>
      </w:pPr>
      <w:r>
        <w:rPr>
          <w:rFonts w:hint="eastAsia" w:ascii="Tahoma" w:hAnsi="Tahoma" w:eastAsia="微软雅黑"/>
          <w:sz w:val="28"/>
          <w:szCs w:val="28"/>
        </w:rPr>
        <w:t>主要经验及做法：立项依据充分，带动光伏产业发展。结合平顺县实际情况，经过按程序申报和审核，确定村级光伏扶贫电站项目，项目符合国家法律法规、行业发展规划和政策要求，与部门职责范围相符，属于地方财政支出范围。项目符合国家法律法规、行业发展规划和政策要求。</w:t>
      </w:r>
    </w:p>
    <w:p>
      <w:pPr>
        <w:pStyle w:val="3"/>
        <w:spacing w:line="240" w:lineRule="auto"/>
        <w:ind w:firstLine="560" w:firstLineChars="200"/>
        <w:rPr>
          <w:rFonts w:ascii="Tahoma" w:hAnsi="Tahoma" w:eastAsia="微软雅黑"/>
          <w:sz w:val="28"/>
          <w:szCs w:val="28"/>
        </w:rPr>
      </w:pPr>
      <w:r>
        <w:rPr>
          <w:rFonts w:hint="eastAsia" w:ascii="Tahoma" w:hAnsi="Tahoma" w:eastAsia="微软雅黑"/>
          <w:sz w:val="28"/>
          <w:szCs w:val="28"/>
        </w:rPr>
        <w:t>项目实施及管理过程中存在的问题：项目部分绩效指标不够明确创建目标较为笼统，没有具体效益指标，且未对生态效益和社会效益指标进行细化和量化。</w:t>
      </w:r>
    </w:p>
    <w:p>
      <w:pPr>
        <w:spacing w:line="220" w:lineRule="atLeast"/>
        <w:ind w:firstLine="420" w:firstLineChars="150"/>
        <w:rPr>
          <w:b/>
          <w:sz w:val="28"/>
          <w:szCs w:val="28"/>
        </w:rPr>
      </w:pPr>
      <w:r>
        <w:rPr>
          <w:rFonts w:hint="eastAsia"/>
          <w:sz w:val="28"/>
          <w:szCs w:val="28"/>
        </w:rPr>
        <w:t>针对以上问题提出如下建议：建议项目实施单位在项目立项前，明确项目实施的具体目标。并对绩效目标进行细化量化，做到合理、具体、可度量、可实现等。建议项目实施单位根据项目特点，建立健全和不断完善与项目相关的各项业务管理制度和风险管理制度，明确分工职责，结合项目特点，细化操作流程，并加大制度执行力度；项目主管部门加强对项目过程和风险管理的监督考核，并与项目的开展情况进行紧密挂钩和严格兑现，确保项目的顺利实施。</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初预算0万元，支出决算</w:t>
      </w:r>
      <w:r>
        <w:rPr>
          <w:rFonts w:hint="eastAsia" w:ascii="微软雅黑" w:hAnsi="微软雅黑" w:cs="宋体"/>
          <w:color w:val="000000"/>
          <w:sz w:val="28"/>
          <w:szCs w:val="28"/>
        </w:rPr>
        <w:t>152.09</w:t>
      </w:r>
      <w:r>
        <w:rPr>
          <w:rFonts w:hint="eastAsia" w:ascii="微软雅黑" w:hAnsi="微软雅黑"/>
          <w:sz w:val="28"/>
          <w:szCs w:val="28"/>
        </w:rPr>
        <w:t>万元，完成年初预算的100%</w:t>
      </w:r>
      <w:r>
        <w:rPr>
          <w:rFonts w:hint="eastAsia" w:ascii="微软雅黑" w:hAnsi="微软雅黑"/>
          <w:color w:val="000000"/>
          <w:sz w:val="28"/>
          <w:szCs w:val="28"/>
        </w:rPr>
        <w:t>，比上年增加</w:t>
      </w:r>
      <w:r>
        <w:rPr>
          <w:rFonts w:hint="eastAsia" w:ascii="微软雅黑" w:hAnsi="微软雅黑" w:cs="宋体"/>
          <w:color w:val="000000"/>
          <w:sz w:val="28"/>
          <w:szCs w:val="28"/>
        </w:rPr>
        <w:t>152.09</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%，原因是本年度增加创业致富带头人培训，光伏管护员培训</w:t>
      </w:r>
      <w:r>
        <w:rPr>
          <w:rFonts w:hint="eastAsia" w:ascii="微软雅黑" w:hAnsi="微软雅黑"/>
          <w:sz w:val="28"/>
          <w:szCs w:val="28"/>
        </w:rPr>
        <w:t>等。2021年度全年组织培训3个，组织培训1140人次。主要为培训创业致富带头人、光伏管护员等</w:t>
      </w:r>
      <w:r>
        <w:rPr>
          <w:rFonts w:ascii="微软雅黑" w:hAnsi="微软雅黑"/>
          <w:sz w:val="28"/>
          <w:szCs w:val="28"/>
        </w:rPr>
        <w:t>。</w:t>
      </w:r>
    </w:p>
    <w:tbl>
      <w:tblPr>
        <w:tblStyle w:val="10"/>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152.09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152.09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rPr>
          <w:rFonts w:ascii="仿宋_GB2312" w:hAnsi="楷体" w:eastAsia="仿宋_GB2312"/>
          <w:b/>
          <w:sz w:val="32"/>
          <w:szCs w:val="32"/>
        </w:rPr>
      </w:pPr>
    </w:p>
    <w:p>
      <w:pPr>
        <w:ind w:firstLine="560" w:firstLineChars="200"/>
        <w:rPr>
          <w:rFonts w:ascii="微软雅黑" w:hAnsi="微软雅黑"/>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初预算0万元，支出决算0万元，完成年初预算的0%，比上年增加0万元，增长0%。2021年度全年召开会议0个，参加会议0人次。</w:t>
      </w:r>
    </w:p>
    <w:tbl>
      <w:tblPr>
        <w:tblStyle w:val="10"/>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sz w:val="32"/>
          <w:szCs w:val="32"/>
        </w:rPr>
      </w:pPr>
    </w:p>
    <w:p>
      <w:pPr>
        <w:spacing w:line="220" w:lineRule="atLeast"/>
        <w:ind w:firstLine="482"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480" w:firstLineChars="150"/>
        <w:rPr>
          <w:rFonts w:ascii="仿宋_GB2312" w:hAnsi="仿宋" w:eastAsia="仿宋_GB2312"/>
          <w:sz w:val="32"/>
          <w:szCs w:val="32"/>
        </w:rPr>
      </w:pPr>
      <w:r>
        <w:rPr>
          <w:rFonts w:hint="eastAsia" w:ascii="仿宋_GB2312" w:hAnsi="仿宋" w:eastAsia="仿宋_GB2312"/>
          <w:sz w:val="32"/>
          <w:szCs w:val="32"/>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sz w:val="28"/>
          <w:szCs w:val="28"/>
        </w:rPr>
      </w:pPr>
      <w:r>
        <w:rPr>
          <w:rFonts w:hint="eastAsia"/>
          <w:sz w:val="28"/>
          <w:szCs w:val="28"/>
        </w:rPr>
        <w:t xml:space="preserve">      附件1：县派驻村第一书记、工作队生活交通补贴</w:t>
      </w:r>
    </w:p>
    <w:p>
      <w:pPr>
        <w:spacing w:line="220" w:lineRule="atLeast"/>
      </w:pPr>
      <w:r>
        <w:drawing>
          <wp:inline distT="0" distB="0" distL="114300" distR="114300">
            <wp:extent cx="5280660" cy="8578215"/>
            <wp:effectExtent l="0" t="0" r="762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stretch>
                      <a:fillRect/>
                    </a:stretch>
                  </pic:blipFill>
                  <pic:spPr>
                    <a:xfrm>
                      <a:off x="0" y="0"/>
                      <a:ext cx="5280660" cy="8578215"/>
                    </a:xfrm>
                    <a:prstGeom prst="rect">
                      <a:avLst/>
                    </a:prstGeom>
                    <a:noFill/>
                    <a:ln w="9525">
                      <a:noFill/>
                    </a:ln>
                  </pic:spPr>
                </pic:pic>
              </a:graphicData>
            </a:graphic>
          </wp:inline>
        </w:drawing>
      </w:r>
    </w:p>
    <w:p>
      <w:pPr>
        <w:spacing w:line="220" w:lineRule="atLeast"/>
      </w:pPr>
      <w:r>
        <w:rPr>
          <w:rFonts w:hint="eastAsia"/>
        </w:rPr>
        <w:t>附件2：村级信息员服务费</w:t>
      </w:r>
    </w:p>
    <w:p>
      <w:pPr>
        <w:spacing w:line="220" w:lineRule="atLeast"/>
      </w:pPr>
      <w:r>
        <w:drawing>
          <wp:inline distT="0" distB="0" distL="114300" distR="114300">
            <wp:extent cx="5216525" cy="8364220"/>
            <wp:effectExtent l="0" t="0" r="1079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stretch>
                      <a:fillRect/>
                    </a:stretch>
                  </pic:blipFill>
                  <pic:spPr>
                    <a:xfrm>
                      <a:off x="0" y="0"/>
                      <a:ext cx="5216525" cy="8364220"/>
                    </a:xfrm>
                    <a:prstGeom prst="rect">
                      <a:avLst/>
                    </a:prstGeom>
                    <a:noFill/>
                    <a:ln w="9525">
                      <a:noFill/>
                    </a:ln>
                  </pic:spPr>
                </pic:pic>
              </a:graphicData>
            </a:graphic>
          </wp:inline>
        </w:drawing>
      </w:r>
    </w:p>
    <w:p>
      <w:pPr>
        <w:spacing w:line="220" w:lineRule="atLeast"/>
      </w:pPr>
      <w:r>
        <w:rPr>
          <w:rFonts w:hint="eastAsia"/>
        </w:rPr>
        <w:t>附件3：工作经费</w:t>
      </w:r>
    </w:p>
    <w:p>
      <w:pPr>
        <w:spacing w:line="220" w:lineRule="atLeast"/>
      </w:pPr>
      <w:r>
        <w:drawing>
          <wp:inline distT="0" distB="0" distL="114300" distR="114300">
            <wp:extent cx="5250815" cy="8434705"/>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stretch>
                      <a:fillRect/>
                    </a:stretch>
                  </pic:blipFill>
                  <pic:spPr>
                    <a:xfrm>
                      <a:off x="0" y="0"/>
                      <a:ext cx="5250815" cy="8434705"/>
                    </a:xfrm>
                    <a:prstGeom prst="rect">
                      <a:avLst/>
                    </a:prstGeom>
                    <a:noFill/>
                    <a:ln w="9525">
                      <a:noFill/>
                    </a:ln>
                  </pic:spPr>
                </pic:pic>
              </a:graphicData>
            </a:graphic>
          </wp:inline>
        </w:drawing>
      </w: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48C96"/>
    <w:multiLevelType w:val="singleLevel"/>
    <w:tmpl w:val="5AB48C9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NzVjMzcxYTVkZmRmZmYyN2FhN2NlMzQ2OGY2YzkifQ=="/>
  </w:docVars>
  <w:rsids>
    <w:rsidRoot w:val="00172A27"/>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54D40"/>
    <w:rsid w:val="001625CD"/>
    <w:rsid w:val="00172A27"/>
    <w:rsid w:val="00180459"/>
    <w:rsid w:val="00182E6D"/>
    <w:rsid w:val="0019352A"/>
    <w:rsid w:val="001A555A"/>
    <w:rsid w:val="001B4B3F"/>
    <w:rsid w:val="001B5EA8"/>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9476F"/>
    <w:rsid w:val="003A3622"/>
    <w:rsid w:val="003A536D"/>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A6DC4"/>
    <w:rsid w:val="004B1117"/>
    <w:rsid w:val="004B2FD8"/>
    <w:rsid w:val="004F2386"/>
    <w:rsid w:val="004F3BD3"/>
    <w:rsid w:val="00522A1C"/>
    <w:rsid w:val="00534286"/>
    <w:rsid w:val="005868D1"/>
    <w:rsid w:val="00586AAF"/>
    <w:rsid w:val="00587E89"/>
    <w:rsid w:val="005D49F3"/>
    <w:rsid w:val="005E0E1C"/>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6272E"/>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9F6D85"/>
    <w:rsid w:val="00A46367"/>
    <w:rsid w:val="00A61FAF"/>
    <w:rsid w:val="00A73E29"/>
    <w:rsid w:val="00A76713"/>
    <w:rsid w:val="00A86E94"/>
    <w:rsid w:val="00AD7358"/>
    <w:rsid w:val="00AD7F7B"/>
    <w:rsid w:val="00AE1E0B"/>
    <w:rsid w:val="00AF1714"/>
    <w:rsid w:val="00AF73B7"/>
    <w:rsid w:val="00B05C60"/>
    <w:rsid w:val="00B11481"/>
    <w:rsid w:val="00B24AE1"/>
    <w:rsid w:val="00B77839"/>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20C75B71"/>
    <w:rsid w:val="210A2C68"/>
    <w:rsid w:val="2820299B"/>
    <w:rsid w:val="2FFC4F65"/>
    <w:rsid w:val="33207955"/>
    <w:rsid w:val="43A762E4"/>
    <w:rsid w:val="45D11D41"/>
    <w:rsid w:val="56FF105A"/>
    <w:rsid w:val="6333505A"/>
    <w:rsid w:val="651D0E7D"/>
    <w:rsid w:val="6CCB33D1"/>
    <w:rsid w:val="725E5389"/>
    <w:rsid w:val="73BE0945"/>
    <w:rsid w:val="7FB0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270"/>
    </w:pPr>
    <w:rPr>
      <w:sz w:val="32"/>
      <w:szCs w:val="32"/>
    </w:rPr>
  </w:style>
  <w:style w:type="paragraph" w:styleId="3">
    <w:name w:val="Body Text 2"/>
    <w:basedOn w:val="1"/>
    <w:qFormat/>
    <w:uiPriority w:val="0"/>
    <w:pPr>
      <w:spacing w:line="480" w:lineRule="auto"/>
    </w:pPr>
    <w:rPr>
      <w:rFonts w:ascii="Times New Roman" w:hAnsi="Times New Roman" w:eastAsia="宋体"/>
    </w:rPr>
  </w:style>
  <w:style w:type="paragraph" w:styleId="5">
    <w:name w:val="Body Text Indent"/>
    <w:basedOn w:val="1"/>
    <w:qFormat/>
    <w:uiPriority w:val="0"/>
    <w:pPr>
      <w:ind w:left="420" w:leftChars="200"/>
    </w:pPr>
  </w:style>
  <w:style w:type="paragraph" w:styleId="6">
    <w:name w:val="Balloon Text"/>
    <w:basedOn w:val="1"/>
    <w:link w:val="17"/>
    <w:semiHidden/>
    <w:unhideWhenUsed/>
    <w:uiPriority w:val="99"/>
    <w:pPr>
      <w:spacing w:after="0"/>
    </w:pPr>
    <w:rPr>
      <w:sz w:val="18"/>
      <w:szCs w:val="18"/>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Body Text First Indent 2"/>
    <w:basedOn w:val="5"/>
    <w:qFormat/>
    <w:uiPriority w:val="99"/>
    <w:pPr>
      <w:ind w:firstLine="420" w:firstLineChars="200"/>
    </w:pPr>
    <w:rPr>
      <w:rFonts w:ascii="Calibri" w:hAnsi="Calibri" w:eastAsia="宋体" w:cs="黑体"/>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Heading2"/>
    <w:basedOn w:val="1"/>
    <w:next w:val="1"/>
    <w:qFormat/>
    <w:uiPriority w:val="99"/>
    <w:pPr>
      <w:keepNext/>
      <w:keepLines/>
      <w:spacing w:line="416" w:lineRule="auto"/>
      <w:textAlignment w:val="baseline"/>
    </w:pPr>
    <w:rPr>
      <w:rFonts w:ascii="Cambria" w:hAnsi="Cambria" w:cs="Cambria"/>
      <w:b/>
      <w:bCs/>
      <w:sz w:val="32"/>
      <w:szCs w:val="32"/>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批注框文本 Char"/>
    <w:basedOn w:val="12"/>
    <w:link w:val="6"/>
    <w:semiHidden/>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4C6C2-6405-415E-B40A-5663EF13DE3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7400</Words>
  <Characters>8120</Characters>
  <Lines>60</Lines>
  <Paragraphs>17</Paragraphs>
  <TotalTime>9</TotalTime>
  <ScaleCrop>false</ScaleCrop>
  <LinksUpToDate>false</LinksUpToDate>
  <CharactersWithSpaces>8199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申甜</cp:lastModifiedBy>
  <dcterms:modified xsi:type="dcterms:W3CDTF">2024-08-12T10:11:11Z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E575D539A12342B09BD0F6456F237CA2_13</vt:lpwstr>
  </property>
</Properties>
</file>