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pPr>
      <w:bookmarkStart w:id="0" w:name="_GoBack"/>
      <w:r>
        <w:rPr>
          <w:rFonts w:hint="eastAsia"/>
          <w:b/>
          <w:sz w:val="32"/>
          <w:szCs w:val="32"/>
        </w:rPr>
        <w:t>705平顺县退役军人事务局2021年度部门决算公开</w:t>
      </w:r>
    </w:p>
    <w:bookmarkEnd w:id="0"/>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rPr>
          <w:sz w:val="28"/>
          <w:szCs w:val="28"/>
        </w:rPr>
      </w:pPr>
      <w:r>
        <w:rPr>
          <w:rFonts w:hint="eastAsia" w:ascii="仿宋_GB2312" w:hAnsi="楷体" w:eastAsia="仿宋_GB2312"/>
          <w:sz w:val="28"/>
          <w:szCs w:val="28"/>
        </w:rPr>
        <w:t>三</w:t>
      </w:r>
      <w:r>
        <w:rPr>
          <w:rFonts w:hint="eastAsia"/>
          <w:sz w:val="28"/>
          <w:szCs w:val="28"/>
        </w:rPr>
        <w:t>、年度工作计划及执行情况</w:t>
      </w:r>
    </w:p>
    <w:p>
      <w:pPr>
        <w:spacing w:line="220" w:lineRule="atLeast"/>
        <w:rPr>
          <w:b/>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line="220" w:lineRule="atLeast"/>
        <w:rPr>
          <w:b/>
          <w:sz w:val="28"/>
          <w:szCs w:val="28"/>
        </w:rPr>
      </w:pPr>
      <w:r>
        <w:rPr>
          <w:rFonts w:hint="eastAsia"/>
          <w:b/>
          <w:sz w:val="28"/>
          <w:szCs w:val="28"/>
        </w:rPr>
        <w:t>第三部分   2021年度部门决算情况说明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pStyle w:val="2"/>
        <w:ind w:firstLine="428"/>
      </w:pPr>
    </w:p>
    <w:p>
      <w:pPr>
        <w:spacing w:line="220" w:lineRule="atLeast"/>
        <w:rPr>
          <w:b/>
          <w:sz w:val="28"/>
          <w:szCs w:val="28"/>
        </w:rPr>
      </w:pPr>
      <w:r>
        <w:rPr>
          <w:rFonts w:hint="eastAsia"/>
          <w:b/>
          <w:sz w:val="28"/>
          <w:szCs w:val="28"/>
        </w:rPr>
        <w:t>第一部分概况</w:t>
      </w:r>
    </w:p>
    <w:p>
      <w:pPr>
        <w:pStyle w:val="21"/>
        <w:numPr>
          <w:ilvl w:val="0"/>
          <w:numId w:val="1"/>
        </w:numPr>
        <w:spacing w:line="220" w:lineRule="atLeast"/>
        <w:ind w:firstLineChars="0"/>
        <w:rPr>
          <w:sz w:val="28"/>
          <w:szCs w:val="28"/>
        </w:rPr>
      </w:pPr>
      <w:r>
        <w:rPr>
          <w:rFonts w:hint="eastAsia"/>
          <w:sz w:val="28"/>
          <w:szCs w:val="28"/>
        </w:rPr>
        <w:t>本部门职责</w:t>
      </w:r>
    </w:p>
    <w:p>
      <w:pPr>
        <w:spacing w:line="220" w:lineRule="atLeast"/>
        <w:ind w:firstLine="560" w:firstLineChars="200"/>
        <w:rPr>
          <w:rFonts w:ascii="仿宋_GB2312" w:hAnsi="楷体" w:eastAsia="仿宋_GB2312"/>
          <w:sz w:val="28"/>
          <w:szCs w:val="28"/>
        </w:rPr>
      </w:pPr>
      <w:r>
        <w:rPr>
          <w:rFonts w:hint="eastAsia" w:ascii="仿宋_GB2312" w:hAnsi="楷体" w:eastAsia="仿宋_GB2312"/>
          <w:sz w:val="28"/>
          <w:szCs w:val="28"/>
        </w:rPr>
        <w:t>首先，按照《长治市退役军人事务局关于抓紧做好退役军人和其他优抚对象信息采集工作的实施方案》的要求，我局在全县12个乡镇分别设立采集点，积极开展了退役军人及其他优抚对象信息采集工作。</w:t>
      </w:r>
    </w:p>
    <w:p>
      <w:pPr>
        <w:spacing w:line="220" w:lineRule="atLeast"/>
        <w:ind w:firstLine="560" w:firstLineChars="200"/>
        <w:rPr>
          <w:rFonts w:ascii="仿宋_GB2312" w:hAnsi="楷体" w:eastAsia="仿宋_GB2312"/>
          <w:sz w:val="28"/>
          <w:szCs w:val="28"/>
        </w:rPr>
      </w:pPr>
      <w:r>
        <w:rPr>
          <w:rFonts w:hint="eastAsia" w:ascii="仿宋_GB2312" w:hAnsi="楷体" w:eastAsia="仿宋_GB2312"/>
          <w:sz w:val="28"/>
          <w:szCs w:val="28"/>
        </w:rPr>
        <w:t>其次，我局向全县范围内的退役军人及重点优抚对象发放了《全县退役军人及重点优抚对象调查问卷》，向他们征询对新组建的退役军人事务局的建议和期望以及他们当前的情况和诉求</w:t>
      </w:r>
    </w:p>
    <w:p>
      <w:pPr>
        <w:spacing w:line="220" w:lineRule="atLeast"/>
        <w:rPr>
          <w:sz w:val="28"/>
          <w:szCs w:val="28"/>
        </w:rPr>
      </w:pPr>
      <w:r>
        <w:rPr>
          <w:rFonts w:hint="eastAsia"/>
          <w:sz w:val="28"/>
          <w:szCs w:val="28"/>
        </w:rPr>
        <w:t>二、机构设置情况</w:t>
      </w:r>
    </w:p>
    <w:p>
      <w:pPr>
        <w:spacing w:line="220" w:lineRule="atLeast"/>
        <w:rPr>
          <w:sz w:val="28"/>
          <w:szCs w:val="28"/>
        </w:rPr>
      </w:pPr>
      <w:r>
        <w:rPr>
          <w:rFonts w:ascii="仿宋_GB2312" w:hAnsi="楷体" w:eastAsia="仿宋_GB2312"/>
          <w:sz w:val="28"/>
          <w:szCs w:val="28"/>
        </w:rPr>
        <w:t>1</w:t>
      </w:r>
      <w:r>
        <w:rPr>
          <w:rFonts w:hint="eastAsia"/>
          <w:sz w:val="28"/>
          <w:szCs w:val="28"/>
        </w:rPr>
        <w:t>. 根据部门职责分工，本部门内设机构包括综合办公室（机关党办）、退役军人服务中心。本部门下属单位包括：本部门无下属单位。</w:t>
      </w:r>
    </w:p>
    <w:p>
      <w:pPr>
        <w:spacing w:line="220" w:lineRule="atLeast"/>
        <w:rPr>
          <w:sz w:val="28"/>
          <w:szCs w:val="28"/>
        </w:rPr>
      </w:pPr>
      <w:r>
        <w:rPr>
          <w:rFonts w:hint="eastAsia"/>
          <w:sz w:val="28"/>
          <w:szCs w:val="28"/>
        </w:rPr>
        <w:t>2. 从决算单位构成看，纳入平顺县退役军人事务局2021年部门汇总决算编制范围的预算单位共计1家，具体包括： 平顺县退役军人事务局本级。</w:t>
      </w:r>
    </w:p>
    <w:p>
      <w:pPr>
        <w:spacing w:line="220" w:lineRule="atLeast"/>
        <w:rPr>
          <w:sz w:val="28"/>
          <w:szCs w:val="28"/>
        </w:rPr>
      </w:pPr>
      <w:r>
        <w:rPr>
          <w:rFonts w:hint="eastAsia"/>
          <w:sz w:val="28"/>
          <w:szCs w:val="28"/>
        </w:rPr>
        <w:t>三、年度工作计划及执行情况</w:t>
      </w:r>
    </w:p>
    <w:p>
      <w:pPr>
        <w:spacing w:line="220" w:lineRule="atLeast"/>
        <w:rPr>
          <w:sz w:val="28"/>
          <w:szCs w:val="28"/>
        </w:rPr>
      </w:pPr>
      <w:r>
        <w:rPr>
          <w:rFonts w:hint="eastAsia"/>
          <w:sz w:val="28"/>
          <w:szCs w:val="28"/>
        </w:rPr>
        <w:t>按照省市“两个年”活动要求，进一步加强了县乡村退役军人服务保障体系建设。一是拓展县服务中心职能,提升保障水平。县服务中心总面积约150平方米，设置独立的办公和活动场所，配置多功能服务大厅和办公区域，并设阅览室、荣誉陈列室、信访接待心理疏导室，充分打造了具有“军”的特色，又有“家”的味道的退役军人之家。二是加强乡镇服务站示范性创建，夯实基层工作。紧紧围绕全市退役军人事务局会议提出的“11358”工作思路，学习和借鉴新时代“枫桥经验”，采取年初安排布置任务、年中指导督促检查、年终考评考核验收的办法，不断健全工作机制，创新工作方法，逐步规范了乡镇退役军人服务站建设。目前全县11个乡镇退役军人服务站，已有5个乡镇达到了示范性创建标准。三是加强服务站人员培训，提升业务水平。针对各乡镇服务站人员新、业务不熟等实际情况和运行中存在的问题，组织县局业务股室对乡镇服务站站长进行了业务培训，统一印发了各种工作台账30余种，制定了《平顺县退役军人事务局工作手册》、《平顺县退役军人工作制度》、《平顺县退役军人便民服务手册》，进一步明确了服务事项，规范了业务流程，提升了整体服务水平。</w:t>
      </w:r>
    </w:p>
    <w:p>
      <w:pPr>
        <w:spacing w:line="220" w:lineRule="atLeast"/>
        <w:rPr>
          <w:sz w:val="28"/>
          <w:szCs w:val="28"/>
        </w:rPr>
      </w:pPr>
      <w:r>
        <w:rPr>
          <w:rFonts w:hint="eastAsia"/>
          <w:sz w:val="28"/>
          <w:szCs w:val="28"/>
        </w:rPr>
        <w:t>1、扎实有效开展双拥优抚工作。一是按时发放各类优抚优待金。目前，我县共有重点优抚对象1507人，其中，伤残人员81人，三属21人，在乡复员军人15人，带病回乡退伍军人153人，两参人员112人，60周岁以上农村籍退役人员677人，60周岁以上老烈子女143人。2020年共发放抚恤优抚资金974万元，其中义务兵优待金105.7万元，物价补贴51.6万元，结算优抚对象医疗补助2004人次24.2万元，对全县300余名重点优抚对象进行了体检，为优抚对象缴纳城镇职工医疗保险和城乡居民保险共11.3万元。二是按规定审批各类优抚对象。依规新审批各类对象78人，其中补评残1人，病故军人遗属1人，60周岁农村籍退役士兵63人，烈士子女4人，带病回乡退役军人9人。三是开展各种形式的走访慰问活动。春节、八一期间,对全县优抚对象进行大走访、大慰问活动,发放慰问金及慰问粮、肉、慰问信等慰问品价值共计75万余元；为3户荣立三等功现役军人家庭发放慰问金1500元；对对边海防现役军人家属开展“六送”活动，并对5户生活困难的家庭进行了帮扶，发放临时困难补助金2500元。四是为驻军部队解决热点难点问题。为武警中队送去3台空调,解决了官兵夏季防暑问题；为县人武部解决了信息指挥终端需电视设备问题。五是打造双拥主题公园。为营造双拥创建氛围，在县委、县政府的领导下，与县人武部联系在迎宾大道边打造了主题突出、特色鲜明、内容丰富的双拥主题公园。使广大群众在休闲娱乐的同时,接受红色文化的熏陶, 有力地激发了全县拥军优属热情。六是积极与市退役军人事务局联系争取到驻长治市海军92727部队为平顺县东寺头乡神龙湾村捐赠30万元，修建“军民连心桥”，助力平顺脱贫攻坚。七是与中国邮政储蓄银行平顺支行签署拥军优抚合作协议，发挥银行系统在拥军优抚事业中的特色作用，进一步聚集各方力量更好地为军人军属服务。</w:t>
      </w:r>
    </w:p>
    <w:p>
      <w:pPr>
        <w:spacing w:line="220" w:lineRule="atLeast"/>
        <w:rPr>
          <w:sz w:val="28"/>
          <w:szCs w:val="28"/>
        </w:rPr>
      </w:pPr>
      <w:r>
        <w:rPr>
          <w:rFonts w:hint="eastAsia"/>
          <w:sz w:val="28"/>
          <w:szCs w:val="28"/>
        </w:rPr>
        <w:t>2、做好烈士褒扬工作。一是清明期间推行网上祭奠活动,营造崇尚英烈良好社会风尚。在严格按要求做好闭馆工作的同时,结合疫情实际,为确保亲人祭扫,在全国英烈网开通网上祭扫专区,为烈士亲属和社会各界纪念缅怀英烈提供便利，推行代祭、云祭活动,满足人们缅怀先烈、寄托哀思的愿望；二是9.30组织全县干部职工、老战士代表、公安武警、少先队员等300余人参加烈士公祭仪式，开展铭记先烈遗志、传承先烈精神活动，推动烈士纪念活动常态化。三是编撰烈士英名录和烈士纪念设施管理保护数据库，实行动态信息管理。建立烈士纪念设施专项排查巡检制度，逐渐形成维护烈士纪念设施长效机制，排查中对阳高乡南庄村地基内陷的董天知烈士墓进行了维护，对平顺烈士陵园进行了水渠疏通和院内破损地砖铺设。三是与平顺县融媒体中心建立宣传英烈精神、讲述英雄事迹协作机制，利用网站、电视台、《今日平顺》、微信公众号等如媒体开设专栏，形成宣传常态化机制，营造尊崇军人、崇尚烈士的社会氛围。</w:t>
      </w:r>
    </w:p>
    <w:p>
      <w:pPr>
        <w:spacing w:line="220" w:lineRule="atLeast"/>
        <w:rPr>
          <w:sz w:val="28"/>
          <w:szCs w:val="28"/>
        </w:rPr>
      </w:pPr>
      <w:r>
        <w:rPr>
          <w:rFonts w:hint="eastAsia"/>
          <w:sz w:val="28"/>
          <w:szCs w:val="28"/>
        </w:rPr>
        <w:t>3、困难退役军人帮扶工作。我局为切实解决退役军人生产生活困难，建立了困难退役军人帮扶机制，设立了困难救助专项资金，目前帮扶援助145人，临时救助24人次，发放救助金28万元。同时积极完善全国困难退役军人帮扶援助信息267条。</w:t>
      </w:r>
    </w:p>
    <w:p>
      <w:pPr>
        <w:spacing w:line="220" w:lineRule="atLeast"/>
        <w:rPr>
          <w:sz w:val="28"/>
          <w:szCs w:val="28"/>
        </w:rPr>
      </w:pPr>
      <w:r>
        <w:rPr>
          <w:rFonts w:hint="eastAsia"/>
          <w:sz w:val="28"/>
          <w:szCs w:val="28"/>
        </w:rPr>
        <w:t>（1）做好退役军人安置就业创业工作。一是组织参加招聘会。组织全县广大退役军人参加了 “山西省退役军人迎新春招聘活动” “山西省退役军人春季网络招聘及微直播活动”“山西省退役军人就业创业直播活动”“山西名企退役军人微直播”“山西肯德基招聘专场”等招聘活动，共发布招聘信息12条，其中9名退役士兵通过网络招聘会实现就业。组织退役军人专场招聘会1次，共15家企业参加招聘，提供岗位数2606个，参加退役军人数98人，签订意向协议人数32人，实际签定就业协议18人。积极与企事业单位沟通了解用工需求,寻求适合退役军人工作岗位，推荐11名退役军人到潞宝集团等企业工作，推荐6名退役军人走上法院辅警岗位。共发放2019年度自主就业退役士兵一次性经济补助26万余元。二是狠抓退役士兵教育培训。根据全县所有退役军人的学历提升意向，积极联系相关学校，帮助50名退役军人完成学历提升。组织27名退役士兵到长治市唯美诺职业学校进行适应性技能培训。三是落实安置政策。开展了2021年度安置就业创业培训回头看整改工作，通过深入走访的方式，发现问题、寻找差距、积极整改、补齐短板。召开了2021年度转业士官座谈会，充分了解退役军人实际情况和内心需求，为退役士兵继续服务社会搭建更好的工作平台。发放2021年度符合政府安排工作条件的2名退役士官待安置工作期间最低生活保障费14000元。四是进行政策解读和法律法规宣传。深入平顺某驻县部队，开展了“进军营讲政策，送服务到基层”活动，围绕退役士兵安置、技能培训、学历教育、就业创业等方面为官兵进行政策宣讲，组织编写了《退役军人服务手册》4000余册。五是企业军转干部、军休干部保障工作。组织开展春节、八一慰问活动,发放慰问金5200元；办理医疗保险,共支付参保费用1120元，并为符合条件的1名军休干部申请办理了护理费补助每月3500元。</w:t>
      </w:r>
    </w:p>
    <w:p>
      <w:pPr>
        <w:spacing w:line="220" w:lineRule="atLeast"/>
        <w:rPr>
          <w:sz w:val="28"/>
          <w:szCs w:val="28"/>
        </w:rPr>
      </w:pPr>
      <w:r>
        <w:rPr>
          <w:rFonts w:hint="eastAsia"/>
          <w:sz w:val="28"/>
          <w:szCs w:val="28"/>
        </w:rPr>
        <w:t>（2）全面完成部分退役士兵社会保险接续后续工作。按照省、市要求，为全面完成部分退役士兵社会保险接续工作，先后与县人力资源和社会保障局核对信息数据、核算应缴费用，对原安置单位不存在及其上级主管部门无缴费能力的进行审核认定，向县政府申请退役军人保险接续资金。经过人社信息核查比对,对177人进行了养老保险补缴。完成养老保险缴费共计300余万元。</w:t>
      </w:r>
    </w:p>
    <w:p>
      <w:pPr>
        <w:spacing w:line="220" w:lineRule="atLeast"/>
        <w:rPr>
          <w:sz w:val="28"/>
          <w:szCs w:val="28"/>
        </w:rPr>
      </w:pPr>
      <w:r>
        <w:rPr>
          <w:rFonts w:hint="eastAsia"/>
          <w:sz w:val="28"/>
          <w:szCs w:val="28"/>
        </w:rPr>
        <w:t>（3）夯实党建根基。按照“突出党建、创新业务、提升服务”的工作目标,扎实开展党建工作,党员干部综合素质不断提高,服务水平持续提升。一是工作目标化,党建、业务工作融合发展。成立平顺县退役军人系统党总支，研究制定2020年党建工作计划,找准党建工作与业务工作的切入点,把党建工作的立足点放在业务工作上,根据业务工作的目标任务,明确党建工作的内容，把业务工作的难点,作为党建工作质点,实现了“抓党建、促业务、共发展”的良好效果。二是制度常态化,党建活动建设日趋完善。严格执行“三会一课”制度,按计划开展党支部会议和党员大会,认真做好会议记录。精心开展主题党日活动,组织畅谈活动心得,提升了党员干部的工作能力和水平。三是学习理论主动化，党性修养逐步提高。每周组织全局干部职工集中学习一次,系统学习</w:t>
      </w:r>
      <w:r>
        <w:rPr>
          <w:rFonts w:hint="eastAsia"/>
          <w:sz w:val="28"/>
          <w:szCs w:val="28"/>
          <w:lang w:eastAsia="zh-CN"/>
        </w:rPr>
        <w:t>习近平总书记重要讲话</w:t>
      </w:r>
      <w:r>
        <w:rPr>
          <w:rFonts w:hint="eastAsia"/>
          <w:sz w:val="28"/>
          <w:szCs w:val="28"/>
        </w:rPr>
        <w:t>和党章、党规等,撰写学习心得,提升党性修养。组织干部职工认真开展业务知识培训,有效提高了专业知识水平。编写退役军人业务知识并下发人手一份,方便遇到疑难问题快速可查、有据可查、有据可依。四是廉政教育灵活化,防腐意识全面增强。通过定期开展廉政教育知识讲座,观看党风廉政宣传视频,自觉提升党员干部</w:t>
      </w:r>
      <w:r>
        <w:rPr>
          <w:rFonts w:hint="eastAsia"/>
          <w:sz w:val="28"/>
          <w:szCs w:val="28"/>
          <w:lang w:eastAsia="zh-CN"/>
        </w:rPr>
        <w:t>拒</w:t>
      </w:r>
      <w:r>
        <w:rPr>
          <w:rFonts w:hint="eastAsia"/>
          <w:sz w:val="28"/>
          <w:szCs w:val="28"/>
        </w:rPr>
        <w:t>腐</w:t>
      </w:r>
      <w:r>
        <w:rPr>
          <w:rFonts w:hint="eastAsia"/>
          <w:sz w:val="28"/>
          <w:szCs w:val="28"/>
          <w:lang w:eastAsia="zh-CN"/>
        </w:rPr>
        <w:t>防</w:t>
      </w:r>
      <w:r>
        <w:rPr>
          <w:rFonts w:hint="eastAsia"/>
          <w:sz w:val="28"/>
          <w:szCs w:val="28"/>
        </w:rPr>
        <w:t>变的能力，紧绷“廉政弦”,在全局上下营造了风清气正的工作环境和氛围。</w:t>
      </w:r>
    </w:p>
    <w:p>
      <w:pPr>
        <w:rPr>
          <w:rFonts w:ascii="仿宋_GB2312" w:hAnsi="楷体" w:eastAsia="仿宋_GB2312"/>
          <w:sz w:val="28"/>
          <w:szCs w:val="28"/>
        </w:rPr>
      </w:pPr>
    </w:p>
    <w:p>
      <w:pPr>
        <w:spacing w:line="220" w:lineRule="atLeast"/>
        <w:ind w:firstLine="562" w:firstLineChars="200"/>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八、政府性基金预算财政拨款收入支出决算表（注：我单位没有使用政府性基金预算财政拨款安排的支出，故本表无数据）</w:t>
      </w:r>
    </w:p>
    <w:p>
      <w:pPr>
        <w:spacing w:line="220" w:lineRule="atLeast"/>
        <w:rPr>
          <w:sz w:val="28"/>
          <w:szCs w:val="28"/>
        </w:rPr>
      </w:pPr>
      <w:r>
        <w:rPr>
          <w:rFonts w:hint="eastAsia"/>
          <w:sz w:val="28"/>
          <w:szCs w:val="28"/>
        </w:rPr>
        <w:t>九、国有资本经营预算财政   拨款支出决算表（注：我单位没有使用国有资本经营预算安排的支出，故本表无数据）</w:t>
      </w:r>
    </w:p>
    <w:p>
      <w:pPr>
        <w:spacing w:line="220" w:lineRule="atLeast"/>
        <w:rPr>
          <w:sz w:val="28"/>
          <w:szCs w:val="28"/>
        </w:rPr>
      </w:pPr>
      <w:r>
        <w:rPr>
          <w:rFonts w:hint="eastAsia"/>
          <w:sz w:val="28"/>
          <w:szCs w:val="28"/>
        </w:rPr>
        <w:t>十、部门决算公开相关信息统计表</w:t>
      </w:r>
    </w:p>
    <w:p>
      <w:pPr>
        <w:spacing w:line="220" w:lineRule="atLeast"/>
        <w:rPr>
          <w:sz w:val="28"/>
          <w:szCs w:val="28"/>
        </w:rPr>
      </w:pPr>
      <w:r>
        <w:rPr>
          <w:rFonts w:hint="eastAsia"/>
          <w:b/>
          <w:sz w:val="28"/>
          <w:szCs w:val="28"/>
        </w:rPr>
        <w:t>第三部分 2021年度部门决算情况说明</w:t>
      </w:r>
    </w:p>
    <w:p>
      <w:pPr>
        <w:spacing w:line="220" w:lineRule="atLeast"/>
        <w:ind w:firstLine="562"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2021年度收入总计1866.172万元、支出总计2018.73696万元。与上年相比，收入总计减少375.4361万元，减少16.75%，支出总计减少32.09294万元，减少1.56%。主要原因是本年度无社保接续资金。</w:t>
      </w:r>
    </w:p>
    <w:tbl>
      <w:tblPr>
        <w:tblStyle w:val="12"/>
        <w:tblW w:w="8085" w:type="dxa"/>
        <w:tblInd w:w="93" w:type="dxa"/>
        <w:tblLayout w:type="autofit"/>
        <w:tblCellMar>
          <w:top w:w="0" w:type="dxa"/>
          <w:left w:w="108" w:type="dxa"/>
          <w:bottom w:w="0" w:type="dxa"/>
          <w:right w:w="108" w:type="dxa"/>
        </w:tblCellMar>
      </w:tblPr>
      <w:tblGrid>
        <w:gridCol w:w="1425"/>
        <w:gridCol w:w="1500"/>
        <w:gridCol w:w="1740"/>
        <w:gridCol w:w="1875"/>
        <w:gridCol w:w="1545"/>
      </w:tblGrid>
      <w:tr>
        <w:tblPrEx>
          <w:tblCellMar>
            <w:top w:w="0" w:type="dxa"/>
            <w:left w:w="108" w:type="dxa"/>
            <w:bottom w:w="0" w:type="dxa"/>
            <w:right w:w="108" w:type="dxa"/>
          </w:tblCellMar>
        </w:tblPrEx>
        <w:trPr>
          <w:trHeight w:val="7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2021年</w:t>
            </w:r>
          </w:p>
          <w:p>
            <w:pPr>
              <w:jc w:val="center"/>
              <w:textAlignment w:val="center"/>
              <w:rPr>
                <w:rFonts w:ascii="宋体" w:hAnsi="宋体" w:eastAsia="宋体" w:cs="宋体"/>
              </w:rPr>
            </w:pPr>
            <w:r>
              <w:rPr>
                <w:rFonts w:hint="eastAsia" w:ascii="宋体" w:hAnsi="宋体" w:eastAsia="宋体" w:cs="宋体"/>
              </w:rPr>
              <w:t>（万元）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2020年</w:t>
            </w:r>
          </w:p>
          <w:p>
            <w:pPr>
              <w:jc w:val="center"/>
              <w:textAlignment w:val="center"/>
              <w:rPr>
                <w:rFonts w:ascii="宋体" w:hAnsi="宋体" w:eastAsia="宋体" w:cs="宋体"/>
              </w:rPr>
            </w:pPr>
            <w:r>
              <w:rPr>
                <w:rFonts w:hint="eastAsia" w:ascii="宋体" w:hAnsi="宋体" w:eastAsia="宋体" w:cs="宋体"/>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较上年减少数（万元）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减幅</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1866.172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2241.6081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375.4361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16.75%</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2018.73696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ascii="宋体" w:hAnsi="宋体" w:eastAsia="宋体" w:cs="宋体"/>
              </w:rPr>
            </w:pPr>
            <w:r>
              <w:rPr>
                <w:rFonts w:hint="eastAsia" w:ascii="宋体" w:hAnsi="宋体" w:eastAsia="宋体" w:cs="宋体"/>
              </w:rPr>
              <w:t>2050.8299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32.09294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1.56%</w:t>
            </w:r>
          </w:p>
        </w:tc>
      </w:tr>
    </w:tbl>
    <w:p>
      <w:pPr>
        <w:spacing w:line="220" w:lineRule="atLeast"/>
        <w:ind w:firstLine="562"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2021年度收入合计1866.172万元，其中：财政拨款收入1855.572万元，占比99.43%；上级补助收入</w:t>
      </w:r>
      <w:r>
        <w:rPr>
          <w:sz w:val="28"/>
          <w:szCs w:val="28"/>
        </w:rPr>
        <w:t>0</w:t>
      </w:r>
      <w:r>
        <w:rPr>
          <w:rFonts w:hint="eastAsia"/>
          <w:sz w:val="28"/>
          <w:szCs w:val="28"/>
        </w:rPr>
        <w:t>万元，占比</w:t>
      </w:r>
      <w:r>
        <w:rPr>
          <w:sz w:val="28"/>
          <w:szCs w:val="28"/>
        </w:rPr>
        <w:t>0</w:t>
      </w:r>
      <w:r>
        <w:rPr>
          <w:rFonts w:hint="eastAsia"/>
          <w:sz w:val="28"/>
          <w:szCs w:val="28"/>
        </w:rPr>
        <w:t>%；事业收入</w:t>
      </w:r>
      <w:r>
        <w:rPr>
          <w:sz w:val="28"/>
          <w:szCs w:val="28"/>
        </w:rPr>
        <w:t>0</w:t>
      </w:r>
      <w:r>
        <w:rPr>
          <w:rFonts w:hint="eastAsia"/>
          <w:sz w:val="28"/>
          <w:szCs w:val="28"/>
        </w:rPr>
        <w:t>万元，占比</w:t>
      </w:r>
      <w:r>
        <w:rPr>
          <w:sz w:val="28"/>
          <w:szCs w:val="28"/>
        </w:rPr>
        <w:t>0</w:t>
      </w:r>
      <w:r>
        <w:rPr>
          <w:rFonts w:hint="eastAsia"/>
          <w:sz w:val="28"/>
          <w:szCs w:val="28"/>
        </w:rPr>
        <w:t>%；经营收入0万元，占比0%；附属单位上缴收入0万元，占比0%；其他收入10.6万元，占比0.5%。</w:t>
      </w:r>
    </w:p>
    <w:p>
      <w:pPr>
        <w:spacing w:line="220" w:lineRule="atLeast"/>
        <w:ind w:firstLine="562"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2021年度支出合计2018.73696万元，其中：基本支出370.2324万元，占比18.34%；项目支出1648.5042万元，占比81.66%；上缴上级支出0万元，占比0%，经营支出0万元，占比0%， 对附属单位补助支出0万元，占比0%。</w:t>
      </w:r>
    </w:p>
    <w:p>
      <w:pPr>
        <w:numPr>
          <w:ilvl w:val="0"/>
          <w:numId w:val="2"/>
        </w:numPr>
        <w:spacing w:line="220" w:lineRule="atLeast"/>
        <w:ind w:firstLine="562" w:firstLineChars="200"/>
        <w:rPr>
          <w:b/>
          <w:sz w:val="28"/>
          <w:szCs w:val="28"/>
        </w:rPr>
      </w:pPr>
      <w:r>
        <w:rPr>
          <w:rFonts w:hint="eastAsia"/>
          <w:b/>
          <w:sz w:val="28"/>
          <w:szCs w:val="28"/>
        </w:rPr>
        <w:t>财政拨款收入支出决算总体情况说明</w:t>
      </w:r>
    </w:p>
    <w:p>
      <w:pPr>
        <w:spacing w:line="220" w:lineRule="atLeast"/>
        <w:rPr>
          <w:sz w:val="28"/>
          <w:szCs w:val="28"/>
        </w:rPr>
      </w:pPr>
      <w:r>
        <w:rPr>
          <w:rFonts w:hint="eastAsia"/>
          <w:sz w:val="28"/>
          <w:szCs w:val="28"/>
        </w:rPr>
        <w:t>2021年度财政拨款收入总计1855.572万元、支出总计2011.0569万元。与上年相比，财政拨款收入总计减少380.4361万元，减少20.5%，财政拨款支出总计减少25.1527万元，减少1.25%。主要原因是本年度无社保接资金。</w:t>
      </w:r>
    </w:p>
    <w:p>
      <w:pPr>
        <w:spacing w:line="220" w:lineRule="atLeast"/>
        <w:ind w:firstLine="562" w:firstLineChars="200"/>
        <w:rPr>
          <w:b/>
          <w:sz w:val="28"/>
          <w:szCs w:val="28"/>
        </w:rPr>
      </w:pPr>
    </w:p>
    <w:p>
      <w:pPr>
        <w:spacing w:line="220" w:lineRule="atLeast"/>
        <w:ind w:firstLine="562" w:firstLineChars="200"/>
        <w:rPr>
          <w:b/>
          <w:sz w:val="28"/>
          <w:szCs w:val="28"/>
        </w:rPr>
      </w:pPr>
      <w:r>
        <w:rPr>
          <w:rFonts w:hint="eastAsia"/>
          <w:b/>
          <w:sz w:val="28"/>
          <w:szCs w:val="28"/>
        </w:rPr>
        <w:t>五、一般公共预算财政拨款支出决算情况说明</w:t>
      </w:r>
    </w:p>
    <w:p>
      <w:pPr>
        <w:spacing w:line="220" w:lineRule="atLeast"/>
        <w:ind w:firstLine="421"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2021年度财政拨款支出2011.0569万元，占本年支出合计的99.62%。与上年相比，财政拨款支出减少25.1527万元，减少1.25%。主要原因是本年度无社保接续资金。其中，人员经费272.8069万元，占比13.56%， 日常公用经费92.4457万元，占比4.5%。</w:t>
      </w:r>
    </w:p>
    <w:p>
      <w:pPr>
        <w:spacing w:line="220" w:lineRule="atLeast"/>
        <w:ind w:firstLine="421" w:firstLineChars="150"/>
        <w:rPr>
          <w:b/>
          <w:sz w:val="28"/>
          <w:szCs w:val="28"/>
        </w:rPr>
      </w:pPr>
      <w:r>
        <w:rPr>
          <w:rFonts w:hint="eastAsia"/>
          <w:b/>
          <w:sz w:val="28"/>
          <w:szCs w:val="28"/>
        </w:rPr>
        <w:t>（二）财政拨款支出决算结构情况</w:t>
      </w:r>
    </w:p>
    <w:p>
      <w:pPr>
        <w:spacing w:line="220" w:lineRule="atLeast"/>
        <w:ind w:firstLine="560" w:firstLineChars="200"/>
        <w:rPr>
          <w:sz w:val="28"/>
          <w:szCs w:val="28"/>
        </w:rPr>
      </w:pPr>
      <w:r>
        <w:rPr>
          <w:rFonts w:hint="eastAsia"/>
          <w:sz w:val="28"/>
          <w:szCs w:val="28"/>
        </w:rPr>
        <w:t>2021年度财政拨款支出2011.0569万元，主要用于以下方面：一般公共服务（类）支出3.19万元，占0.15%；社会保障和就业（类）支出1913.4459万元，</w:t>
      </w:r>
      <w:r>
        <w:rPr>
          <w:sz w:val="28"/>
          <w:szCs w:val="28"/>
        </w:rPr>
        <w:t xml:space="preserve"> </w:t>
      </w:r>
      <w:r>
        <w:rPr>
          <w:rFonts w:hint="eastAsia"/>
          <w:sz w:val="28"/>
          <w:szCs w:val="28"/>
        </w:rPr>
        <w:t>占95.14%；卫生健康（类）支出70.6183万元，占3.51%；住房保障（类）支出23.8026万元，占1.18%；</w:t>
      </w:r>
    </w:p>
    <w:p>
      <w:pPr>
        <w:spacing w:line="220" w:lineRule="atLeast"/>
        <w:ind w:firstLine="421"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2021年度财政拨款支出年初预算980.62万元，支出决算2011.0569万元，完成年初预算的205.08%。其中：</w:t>
      </w:r>
    </w:p>
    <w:p>
      <w:pPr>
        <w:spacing w:line="220" w:lineRule="atLeast"/>
        <w:ind w:firstLine="560" w:firstLineChars="200"/>
        <w:rPr>
          <w:sz w:val="28"/>
          <w:szCs w:val="28"/>
        </w:rPr>
      </w:pPr>
      <w:r>
        <w:rPr>
          <w:rFonts w:hint="eastAsia"/>
          <w:sz w:val="28"/>
          <w:szCs w:val="28"/>
        </w:rPr>
        <w:t>一般公共服务支出年初预算3.19万元，支出决算3.19万元，完成年初预算的100%，用于干部职工工会经费支出; 社会保障和就业支出年初预算933.64万元，支出决算1913.4459万元，完成年初预算的204.94%，用于重点优抚对象资金较上年增加14.8万元，增加1.36%，主要原因重点优抚对象资金8月份标准较去年提标;卫生健康支出年初预算23.14万元，支出决算70.6183万元，完成年初预算的305.18%，用于医疗保险较上年决算增加0.32万元，增加1.41%，主要原因较上年度在职人员增加1人;住房保障支出年初预算20.65万元，支出决算23.8026万元，完成年初预算的115.27%，用于行政和事业人员住房公积金较上年决算增加8.9万元，增长59.7%，主要原因较上年度在职人员增加1人; (部门应当根据决算表格数据，按支出功能分类科目说明所有支出完成情况，并说明增减原因。涉及支出应在专业名词解释中予以说明。)</w:t>
      </w:r>
    </w:p>
    <w:tbl>
      <w:tblPr>
        <w:tblStyle w:val="12"/>
        <w:tblW w:w="9100" w:type="dxa"/>
        <w:tblInd w:w="93" w:type="dxa"/>
        <w:tblLayout w:type="autofit"/>
        <w:tblCellMar>
          <w:top w:w="0" w:type="dxa"/>
          <w:left w:w="108" w:type="dxa"/>
          <w:bottom w:w="0" w:type="dxa"/>
          <w:right w:w="108" w:type="dxa"/>
        </w:tblCellMar>
      </w:tblPr>
      <w:tblGrid>
        <w:gridCol w:w="9409"/>
      </w:tblGrid>
      <w:tr>
        <w:tblPrEx>
          <w:tblCellMar>
            <w:top w:w="0" w:type="dxa"/>
            <w:left w:w="108" w:type="dxa"/>
            <w:bottom w:w="0" w:type="dxa"/>
            <w:right w:w="108" w:type="dxa"/>
          </w:tblCellMar>
        </w:tblPrEx>
        <w:trPr>
          <w:trHeight w:val="459" w:hRule="atLeast"/>
        </w:trPr>
        <w:tc>
          <w:tcPr>
            <w:tcW w:w="1025" w:type="dxa"/>
            <w:tcBorders>
              <w:top w:val="single" w:color="000000" w:sz="4" w:space="0"/>
              <w:left w:val="single" w:color="000000" w:sz="4" w:space="0"/>
              <w:bottom w:val="single" w:color="000000" w:sz="4" w:space="0"/>
              <w:right w:val="single" w:color="000000" w:sz="4" w:space="0"/>
            </w:tcBorders>
            <w:shd w:val="clear" w:color="FFFFFF" w:fill="C0C0C0"/>
            <w:vAlign w:val="center"/>
          </w:tcPr>
          <w:tbl>
            <w:tblPr>
              <w:tblStyle w:val="12"/>
              <w:tblW w:w="9100" w:type="dxa"/>
              <w:tblInd w:w="93" w:type="dxa"/>
              <w:tblLayout w:type="autofit"/>
              <w:tblCellMar>
                <w:top w:w="0" w:type="dxa"/>
                <w:left w:w="108" w:type="dxa"/>
                <w:bottom w:w="0" w:type="dxa"/>
                <w:right w:w="108" w:type="dxa"/>
              </w:tblCellMar>
            </w:tblPr>
            <w:tblGrid>
              <w:gridCol w:w="2416"/>
              <w:gridCol w:w="910"/>
              <w:gridCol w:w="1212"/>
              <w:gridCol w:w="1010"/>
              <w:gridCol w:w="1320"/>
              <w:gridCol w:w="1216"/>
              <w:gridCol w:w="1016"/>
            </w:tblGrid>
            <w:tr>
              <w:tblPrEx>
                <w:tblCellMar>
                  <w:top w:w="0" w:type="dxa"/>
                  <w:left w:w="108" w:type="dxa"/>
                  <w:bottom w:w="0" w:type="dxa"/>
                  <w:right w:w="108" w:type="dxa"/>
                </w:tblCellMar>
              </w:tblPrEx>
              <w:trPr>
                <w:trHeight w:val="573" w:hRule="atLeast"/>
              </w:trPr>
              <w:tc>
                <w:tcPr>
                  <w:tcW w:w="9100" w:type="dxa"/>
                  <w:gridSpan w:val="7"/>
                  <w:tcBorders>
                    <w:top w:val="nil"/>
                    <w:left w:val="nil"/>
                    <w:bottom w:val="nil"/>
                    <w:right w:val="nil"/>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b/>
                      <w:bCs/>
                      <w:sz w:val="28"/>
                      <w:szCs w:val="28"/>
                    </w:rPr>
                    <w:t>财政拨款支出决算对比表</w:t>
                  </w:r>
                </w:p>
              </w:tc>
            </w:tr>
            <w:tr>
              <w:tblPrEx>
                <w:tblCellMar>
                  <w:top w:w="0" w:type="dxa"/>
                  <w:left w:w="108" w:type="dxa"/>
                  <w:bottom w:w="0" w:type="dxa"/>
                  <w:right w:w="108" w:type="dxa"/>
                </w:tblCellMar>
              </w:tblPrEx>
              <w:trPr>
                <w:trHeight w:val="467" w:hRule="atLeast"/>
              </w:trPr>
              <w:tc>
                <w:tcPr>
                  <w:tcW w:w="0" w:type="auto"/>
                  <w:gridSpan w:val="7"/>
                  <w:tcBorders>
                    <w:top w:val="nil"/>
                    <w:left w:val="nil"/>
                    <w:bottom w:val="nil"/>
                    <w:right w:val="nil"/>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 xml:space="preserve">                                                                   单位：万元</w:t>
                  </w:r>
                </w:p>
              </w:tc>
            </w:tr>
            <w:tr>
              <w:tblPrEx>
                <w:tblCellMar>
                  <w:top w:w="0" w:type="dxa"/>
                  <w:left w:w="108" w:type="dxa"/>
                  <w:bottom w:w="0" w:type="dxa"/>
                  <w:right w:w="108" w:type="dxa"/>
                </w:tblCellMar>
              </w:tblPrEx>
              <w:trPr>
                <w:trHeight w:val="459" w:hRule="atLeast"/>
              </w:trPr>
              <w:tc>
                <w:tcPr>
                  <w:tcW w:w="241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项目（按功能分类）</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本年初预算数</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本年决算数</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完成预算</w:t>
                  </w:r>
                </w:p>
                <w:p>
                  <w:pPr>
                    <w:jc w:val="center"/>
                    <w:textAlignment w:val="center"/>
                    <w:rPr>
                      <w:rFonts w:ascii="宋体" w:hAnsi="宋体" w:eastAsia="宋体" w:cs="宋体"/>
                      <w:sz w:val="20"/>
                      <w:szCs w:val="20"/>
                    </w:rPr>
                  </w:pPr>
                  <w:r>
                    <w:rPr>
                      <w:rFonts w:hint="eastAsia" w:ascii="宋体" w:hAnsi="宋体" w:eastAsia="宋体" w:cs="宋体"/>
                      <w:sz w:val="20"/>
                      <w:szCs w:val="20"/>
                    </w:rPr>
                    <w:t>比例</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上年决算数</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决算较上年增加额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增幅</w:t>
                  </w:r>
                </w:p>
              </w:tc>
            </w:tr>
            <w:tr>
              <w:tblPrEx>
                <w:tblCellMar>
                  <w:top w:w="0" w:type="dxa"/>
                  <w:left w:w="108" w:type="dxa"/>
                  <w:bottom w:w="0" w:type="dxa"/>
                  <w:right w:w="108" w:type="dxa"/>
                </w:tblCellMar>
              </w:tblPrEx>
              <w:trPr>
                <w:trHeight w:val="459" w:hRule="atLeast"/>
              </w:trPr>
              <w:tc>
                <w:tcPr>
                  <w:tcW w:w="241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2.8684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0.3216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11.2%</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933.64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1913.4459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204.94%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1954.658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-41.2121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-2.1%</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70.6183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305.18%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78.6126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-7.9943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-10.16%</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23.8026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115.27%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14.9831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8.8195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58.86%</w:t>
                  </w:r>
                </w:p>
              </w:tc>
            </w:tr>
            <w:tr>
              <w:tblPrEx>
                <w:tblCellMar>
                  <w:top w:w="0" w:type="dxa"/>
                  <w:left w:w="108" w:type="dxa"/>
                  <w:bottom w:w="0" w:type="dxa"/>
                  <w:right w:w="108" w:type="dxa"/>
                </w:tblCellMar>
              </w:tblPrEx>
              <w:trPr>
                <w:trHeight w:val="496"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 xml:space="preserve">980.62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 xml:space="preserve">2011.0569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2051.1221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-40.0653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-1.95%</w:t>
                  </w:r>
                </w:p>
              </w:tc>
            </w:tr>
          </w:tbl>
          <w:p>
            <w:pPr>
              <w:jc w:val="center"/>
              <w:textAlignment w:val="center"/>
              <w:rPr>
                <w:rFonts w:ascii="宋体" w:hAnsi="宋体" w:eastAsia="宋体" w:cs="宋体"/>
                <w:sz w:val="20"/>
                <w:szCs w:val="20"/>
              </w:rPr>
            </w:pPr>
          </w:p>
        </w:tc>
      </w:tr>
    </w:tbl>
    <w:p>
      <w:pPr>
        <w:spacing w:line="220" w:lineRule="atLeast"/>
        <w:ind w:firstLine="560" w:firstLineChars="200"/>
        <w:rPr>
          <w:sz w:val="28"/>
          <w:szCs w:val="28"/>
        </w:rPr>
      </w:pPr>
    </w:p>
    <w:p>
      <w:pPr>
        <w:spacing w:line="220" w:lineRule="atLeast"/>
        <w:ind w:firstLine="562"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2021年度财政拨款基本支出365.2527万元，其中：人员经费272.8069万元，主要包括行政事业人员工资和社会保险等支出；公用经费92.4457万元，主要包括办公费、差旅费、设备购置等支出。</w:t>
      </w:r>
    </w:p>
    <w:p>
      <w:pPr>
        <w:spacing w:line="220" w:lineRule="atLeast"/>
        <w:ind w:firstLine="562" w:firstLineChars="200"/>
        <w:rPr>
          <w:b/>
          <w:sz w:val="28"/>
          <w:szCs w:val="28"/>
        </w:rPr>
      </w:pPr>
      <w:r>
        <w:rPr>
          <w:rFonts w:hint="eastAsia"/>
          <w:b/>
          <w:sz w:val="28"/>
          <w:szCs w:val="28"/>
        </w:rPr>
        <w:t>七、一般公共预算财政拨款“三公”经费支出决算情况说明</w:t>
      </w:r>
    </w:p>
    <w:p>
      <w:pPr>
        <w:spacing w:line="220" w:lineRule="atLeast"/>
        <w:ind w:firstLine="562"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2021年度“三公”经费财政拨款支出预算0万元，支出决算0万元，完成预算的0%，比上年减少0万元，减少0%，主要原因是：本年度无“三公”经费支出。</w:t>
      </w:r>
    </w:p>
    <w:p>
      <w:pPr>
        <w:spacing w:line="220" w:lineRule="atLeast"/>
        <w:ind w:firstLine="562" w:firstLineChars="200"/>
        <w:rPr>
          <w:b/>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12"/>
        <w:tblW w:w="0" w:type="auto"/>
        <w:tblInd w:w="91" w:type="dxa"/>
        <w:tblLayout w:type="autofit"/>
        <w:tblCellMar>
          <w:top w:w="0" w:type="dxa"/>
          <w:left w:w="108" w:type="dxa"/>
          <w:bottom w:w="0" w:type="dxa"/>
          <w:right w:w="108" w:type="dxa"/>
        </w:tblCellMar>
      </w:tblPr>
      <w:tblGrid>
        <w:gridCol w:w="285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bl>
    <w:p>
      <w:pPr>
        <w:rPr>
          <w:rFonts w:ascii="仿宋_GB2312" w:hAnsi="仿宋" w:eastAsia="仿宋_GB2312"/>
          <w:b/>
          <w:sz w:val="32"/>
          <w:szCs w:val="32"/>
        </w:rPr>
      </w:pPr>
    </w:p>
    <w:p>
      <w:pPr>
        <w:ind w:firstLine="642"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12"/>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both"/>
              <w:rPr>
                <w:rFonts w:ascii="宋体" w:hAnsi="宋体" w:cs="宋体"/>
                <w:color w:val="000000"/>
              </w:rPr>
            </w:pPr>
            <w:r>
              <w:rPr>
                <w:rFonts w:hint="eastAsia" w:ascii="宋体" w:hAnsi="宋体" w:cs="宋体"/>
                <w:color w:val="000000"/>
              </w:rPr>
              <w:t>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color w:val="000000"/>
          <w:sz w:val="28"/>
          <w:szCs w:val="28"/>
        </w:rPr>
      </w:pPr>
      <w:r>
        <w:rPr>
          <w:rFonts w:hint="eastAsia" w:ascii="微软雅黑" w:hAnsi="微软雅黑"/>
          <w:color w:val="000000"/>
          <w:sz w:val="28"/>
          <w:szCs w:val="28"/>
        </w:rPr>
        <w:t>2021年一般公共预算安排的“三公”经费年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-1</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w:t>
      </w:r>
      <w:r>
        <w:rPr>
          <w:rFonts w:hint="eastAsia" w:ascii="微软雅黑" w:hAnsi="微软雅黑"/>
          <w:sz w:val="28"/>
          <w:szCs w:val="28"/>
        </w:rPr>
        <w:t>。其中：因公出国（境）费用年初预算0万元，支出决算0万元，完成年初预算的0%，比上年增加0万元，增长0%，原因是我单位2021年度未发生因公出国（境）费用（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w:t>
      </w:r>
      <w:r>
        <w:rPr>
          <w:rFonts w:hint="eastAsia" w:ascii="微软雅黑" w:hAnsi="微软雅黑"/>
          <w:color w:val="000000"/>
          <w:sz w:val="28"/>
          <w:szCs w:val="28"/>
        </w:rPr>
        <w:t>其中公务用车购置及运行维护费用年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%（具体：其中公务用车购置费年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%，原因是无；公务用车运行维护费年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%，原因是无）；公务接待费年</w:t>
      </w:r>
      <w:r>
        <w:rPr>
          <w:rFonts w:hint="eastAsia" w:ascii="微软雅黑" w:hAnsi="微软雅黑"/>
          <w:sz w:val="28"/>
          <w:szCs w:val="28"/>
        </w:rPr>
        <w:t>初预算</w:t>
      </w:r>
      <w:r>
        <w:rPr>
          <w:rFonts w:hint="eastAsia" w:ascii="微软雅黑" w:hAnsi="微软雅黑" w:cs="宋体"/>
          <w:color w:val="000000"/>
          <w:sz w:val="28"/>
          <w:szCs w:val="28"/>
        </w:rPr>
        <w:t>　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-1</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w:t>
      </w:r>
      <w:r>
        <w:rPr>
          <w:rFonts w:hint="eastAsia"/>
          <w:sz w:val="28"/>
          <w:szCs w:val="28"/>
        </w:rPr>
        <w:t>本部门无三公经费（全年年使用一般公共预算拨款开支的国内公务接待0批次，0人次。）</w:t>
      </w:r>
      <w:r>
        <w:rPr>
          <w:rFonts w:hint="eastAsia" w:ascii="微软雅黑" w:hAnsi="微软雅黑"/>
          <w:color w:val="000000"/>
          <w:sz w:val="28"/>
          <w:szCs w:val="28"/>
        </w:rPr>
        <w:t>。</w:t>
      </w:r>
    </w:p>
    <w:p>
      <w:pPr>
        <w:spacing w:line="220" w:lineRule="atLeast"/>
        <w:ind w:firstLine="562" w:firstLineChars="200"/>
        <w:rPr>
          <w:b/>
          <w:sz w:val="28"/>
          <w:szCs w:val="28"/>
        </w:rPr>
      </w:pPr>
      <w:r>
        <w:rPr>
          <w:rFonts w:hint="eastAsia"/>
          <w:b/>
          <w:sz w:val="28"/>
          <w:szCs w:val="28"/>
        </w:rPr>
        <w:t>八、其他重要事项情况说明</w:t>
      </w:r>
    </w:p>
    <w:p>
      <w:pPr>
        <w:spacing w:line="220" w:lineRule="atLeast"/>
        <w:ind w:firstLine="562" w:firstLineChars="200"/>
        <w:rPr>
          <w:b/>
          <w:sz w:val="28"/>
          <w:szCs w:val="28"/>
        </w:rPr>
      </w:pPr>
      <w:r>
        <w:rPr>
          <w:rFonts w:hint="eastAsia"/>
          <w:b/>
          <w:sz w:val="28"/>
          <w:szCs w:val="28"/>
        </w:rPr>
        <w:t>（一）机关运行经费支出情况说明</w:t>
      </w:r>
    </w:p>
    <w:p>
      <w:pPr>
        <w:spacing w:line="220" w:lineRule="atLeast"/>
        <w:ind w:firstLine="560" w:firstLineChars="200"/>
        <w:rPr>
          <w:sz w:val="28"/>
          <w:szCs w:val="28"/>
        </w:rPr>
      </w:pPr>
      <w:r>
        <w:rPr>
          <w:rFonts w:hint="eastAsia"/>
          <w:sz w:val="28"/>
          <w:szCs w:val="28"/>
        </w:rPr>
        <w:t>2021年机关运行经费支出92.4457万元（与部门决算中行政单位和参照公务员法管理的事业单位一般公共预算财政拨款基本支出中公用经费之和保持一致），比上年增加55.2437万元，增长148.49%。主要原因是：本年度新增事业人员1名，增加三级服务站工作经费。</w:t>
      </w:r>
    </w:p>
    <w:p>
      <w:pPr>
        <w:spacing w:line="220" w:lineRule="atLeast"/>
        <w:ind w:firstLine="562"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1.588万元，其中：政府采购货物支出1.588万元、政府采购工程支出0万元、政府采购服务支出0万元。政府采购授予中小企业合同金额0万元，占政府采购支出总额的0%。其中：授予小微企业合同金额0万元，占政府采购支出总额的0%.</w:t>
      </w:r>
    </w:p>
    <w:p>
      <w:pPr>
        <w:spacing w:line="220" w:lineRule="atLeast"/>
        <w:ind w:firstLine="562"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ind w:firstLine="636"/>
        <w:rPr>
          <w:rFonts w:ascii="仿宋_GB2312" w:hAnsi="仿宋" w:eastAsia="仿宋_GB2312"/>
          <w:color w:val="FF0000"/>
          <w:sz w:val="32"/>
          <w:szCs w:val="32"/>
        </w:rPr>
      </w:pPr>
      <w:r>
        <w:rPr>
          <w:rFonts w:hint="eastAsia"/>
          <w:sz w:val="28"/>
          <w:szCs w:val="28"/>
        </w:rPr>
        <w:t>截至2021年12月31日，本部门共有房屋0平方米，价值为万元，其中办公用房平方米，价值为万元；业务用房0平方米，价值为0万元；其他（不含构筑物）0平方米，价值为0万元。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0辆。其中，副部（省）级及以上领导用车0辆、主要领导干部用车0辆、机要通信用车0辆、应急保障用车0辆、执法执勤用车0辆、特种专业技术用车0辆、离退休干部用车0辆、其他用车0辆，无其他用车；单价50万元（含）以上的通用设备0台（套），单价100万元（含）以上专用设备0台（套）。</w:t>
      </w:r>
    </w:p>
    <w:p>
      <w:pPr>
        <w:spacing w:line="220" w:lineRule="atLeast"/>
        <w:ind w:firstLine="562" w:firstLineChars="200"/>
        <w:rPr>
          <w:b/>
          <w:sz w:val="28"/>
          <w:szCs w:val="28"/>
        </w:rPr>
      </w:pPr>
      <w:r>
        <w:rPr>
          <w:rFonts w:hint="eastAsia"/>
          <w:b/>
          <w:sz w:val="28"/>
          <w:szCs w:val="28"/>
        </w:rPr>
        <w:t>（四）预算绩效情况说明</w:t>
      </w:r>
    </w:p>
    <w:p>
      <w:pPr>
        <w:spacing w:line="220" w:lineRule="atLeast"/>
        <w:ind w:firstLine="562"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r>
        <w:rPr>
          <w:rFonts w:hint="eastAsia"/>
          <w:sz w:val="28"/>
          <w:szCs w:val="28"/>
        </w:rPr>
        <w:t>根据预算绩效管理要求，我部门组织对2021年度县级财政预算安排的专项资金类27个项目支出全面开展绩效自评，涉及预算资金781.39万元，占一般公共预算项目支出总额的32.94%。组织对2021年度0个政府性基金预算项目支出开展绩效自评，共涉及预算资金0万元，占政府性基金预算项目支出总额的0%。</w:t>
      </w:r>
    </w:p>
    <w:p>
      <w:pPr>
        <w:spacing w:line="220" w:lineRule="atLeast"/>
        <w:ind w:firstLine="560" w:firstLineChars="200"/>
        <w:rPr>
          <w:sz w:val="28"/>
          <w:szCs w:val="28"/>
        </w:rPr>
      </w:pPr>
      <w:r>
        <w:rPr>
          <w:rFonts w:hint="eastAsia"/>
          <w:sz w:val="28"/>
          <w:szCs w:val="28"/>
        </w:rPr>
        <w:t>组织对“义务兵优待金”“参战参试生活补助”等27个项目开展了部门评价，涉及一般公共预算支出781.39万元，政府性基金预算支出0万元。其中对“优抚对象抚恤资金1083.65万元”委托第三方机构“长治中瑞会计事务所有限公司”开展绩效评价。从评价情况来看， 项目完成及时，保障优抚对象的基本生活，完善补助政策措施，加强了优抚对象抚恤资金的发放水平，达到预期目标，完成预期效果。结果改善优抚对象的生活，提升退役军人社会地位。</w:t>
      </w:r>
      <w:r>
        <w:rPr>
          <w:sz w:val="28"/>
          <w:szCs w:val="28"/>
        </w:rPr>
        <w:t xml:space="preserve">   </w:t>
      </w:r>
    </w:p>
    <w:p>
      <w:pPr>
        <w:spacing w:line="220" w:lineRule="atLeast"/>
        <w:ind w:firstLine="840" w:firstLineChars="300"/>
        <w:rPr>
          <w:sz w:val="28"/>
          <w:szCs w:val="28"/>
        </w:rPr>
      </w:pPr>
      <w:r>
        <w:rPr>
          <w:rFonts w:hint="eastAsia"/>
          <w:sz w:val="28"/>
          <w:szCs w:val="28"/>
        </w:rPr>
        <w:t>我单位本年度没有整体绩效评价试点。</w:t>
      </w:r>
    </w:p>
    <w:p>
      <w:pPr>
        <w:spacing w:line="220" w:lineRule="atLeast"/>
        <w:ind w:firstLine="562" w:firstLineChars="200"/>
        <w:rPr>
          <w:sz w:val="28"/>
          <w:szCs w:val="28"/>
        </w:rPr>
      </w:pPr>
      <w:r>
        <w:rPr>
          <w:rFonts w:hint="eastAsia"/>
          <w:b/>
          <w:sz w:val="28"/>
          <w:szCs w:val="28"/>
        </w:rPr>
        <w:t>（2）部门决算中项目绩效自评结果。</w:t>
      </w:r>
    </w:p>
    <w:p>
      <w:pPr>
        <w:spacing w:line="220" w:lineRule="atLeast"/>
        <w:ind w:firstLine="560" w:firstLineChars="200"/>
        <w:rPr>
          <w:sz w:val="28"/>
          <w:szCs w:val="28"/>
        </w:rPr>
      </w:pPr>
      <w:r>
        <w:rPr>
          <w:rFonts w:hint="eastAsia"/>
          <w:sz w:val="28"/>
          <w:szCs w:val="28"/>
        </w:rPr>
        <w:t>重点优抚对象参战参试生活补助项目绩效自评综述：根据年初设定的绩效目标，项目自评得分为100分。全年预算数为125万元，执行数为125万元，完成预算的100%。项目绩效目标完成情况：一是项目完成及时；二是极大改善参战参试人员生活，切实提升了他们的获得感、荣誉感；三是提高了他们的社会地位。</w:t>
      </w:r>
    </w:p>
    <w:p>
      <w:pPr>
        <w:spacing w:line="220" w:lineRule="atLeast"/>
        <w:ind w:firstLine="560" w:firstLineChars="200"/>
        <w:rPr>
          <w:sz w:val="28"/>
          <w:szCs w:val="28"/>
        </w:rPr>
      </w:pPr>
      <w:r>
        <w:rPr>
          <w:rFonts w:hint="eastAsia"/>
          <w:sz w:val="28"/>
          <w:szCs w:val="28"/>
        </w:rPr>
        <w:t>未发现其他问题。</w:t>
      </w:r>
    </w:p>
    <w:p>
      <w:pPr>
        <w:spacing w:line="220" w:lineRule="atLeast"/>
        <w:ind w:firstLine="560" w:firstLineChars="200"/>
        <w:rPr>
          <w:sz w:val="28"/>
          <w:szCs w:val="28"/>
        </w:rPr>
      </w:pPr>
      <w:r>
        <w:rPr>
          <w:rFonts w:hint="eastAsia"/>
          <w:sz w:val="28"/>
          <w:szCs w:val="28"/>
        </w:rPr>
        <w:t>退役士兵一次行经济补助项目绩效自评综述：根据年初设定的绩效目标，项目自评得分为100分。全年预算数为14万元，执行数为14万元，完成预算的100%。项目绩效目标完成情况：一是项目完成及时；二是切实保障了退役军人合法权益。三是规范和扶持退役士兵自主就业。</w:t>
      </w:r>
    </w:p>
    <w:p>
      <w:pPr>
        <w:spacing w:line="220" w:lineRule="atLeast"/>
        <w:ind w:firstLine="560" w:firstLineChars="200"/>
        <w:rPr>
          <w:sz w:val="28"/>
          <w:szCs w:val="28"/>
        </w:rPr>
      </w:pPr>
      <w:r>
        <w:rPr>
          <w:rFonts w:hint="eastAsia"/>
          <w:sz w:val="28"/>
          <w:szCs w:val="28"/>
        </w:rPr>
        <w:t>未发现其他问题。</w:t>
      </w:r>
    </w:p>
    <w:p>
      <w:pPr>
        <w:spacing w:line="220" w:lineRule="atLeast"/>
        <w:ind w:firstLine="560" w:firstLineChars="200"/>
        <w:rPr>
          <w:sz w:val="28"/>
          <w:szCs w:val="28"/>
        </w:rPr>
      </w:pPr>
    </w:p>
    <w:p>
      <w:pPr>
        <w:spacing w:line="220" w:lineRule="atLeast"/>
        <w:ind w:firstLine="560" w:firstLineChars="200"/>
        <w:rPr>
          <w:sz w:val="28"/>
          <w:szCs w:val="28"/>
        </w:rPr>
      </w:pPr>
      <w:r>
        <w:rPr>
          <w:rFonts w:hint="eastAsia"/>
          <w:sz w:val="28"/>
          <w:szCs w:val="28"/>
        </w:rPr>
        <w:t>退役士兵待安置期间生活补助项目绩效自评综述：根据年初设定的绩效目标，项目自评得分为100分。全年预算数为4万元，执行数为4万元，完成预算的100%。项目绩效目标完成情况：一是解决了部分退役军人生活中的实际困难；二是保障退役军人合法权益。三是实实在在让困难退役军人享受到党和政府的关怀。</w:t>
      </w:r>
    </w:p>
    <w:p>
      <w:pPr>
        <w:spacing w:line="220" w:lineRule="atLeast"/>
        <w:ind w:firstLine="560" w:firstLineChars="200"/>
        <w:rPr>
          <w:color w:val="FF0000"/>
          <w:sz w:val="28"/>
          <w:szCs w:val="28"/>
        </w:rPr>
      </w:pPr>
      <w:r>
        <w:rPr>
          <w:rFonts w:hint="eastAsia"/>
          <w:sz w:val="28"/>
          <w:szCs w:val="28"/>
        </w:rPr>
        <w:t>未发现其他问题</w:t>
      </w:r>
    </w:p>
    <w:p>
      <w:pPr>
        <w:spacing w:line="220" w:lineRule="atLeast"/>
        <w:ind w:firstLine="560" w:firstLineChars="200"/>
        <w:rPr>
          <w:sz w:val="28"/>
          <w:szCs w:val="28"/>
        </w:rPr>
      </w:pPr>
      <w:r>
        <w:rPr>
          <w:rFonts w:hint="eastAsia"/>
          <w:sz w:val="28"/>
          <w:szCs w:val="28"/>
        </w:rPr>
        <w:t>因我单位属于涉密单位，该部分不予公开。</w:t>
      </w:r>
    </w:p>
    <w:p>
      <w:pPr>
        <w:spacing w:line="220" w:lineRule="atLeast"/>
        <w:ind w:firstLine="560" w:firstLineChars="200"/>
      </w:pPr>
      <w:r>
        <w:rPr>
          <w:rFonts w:hint="eastAsia" w:ascii="微软雅黑" w:hAnsi="微软雅黑" w:cs="微软雅黑"/>
          <w:sz w:val="28"/>
          <w:szCs w:val="28"/>
        </w:rPr>
        <w:t>（3）部门评价项目绩效评价结果。我单位本年度没有开展部门评价项目绩效评价</w:t>
      </w:r>
    </w:p>
    <w:p>
      <w:pPr>
        <w:spacing w:line="220" w:lineRule="atLeast"/>
        <w:ind w:firstLine="421" w:firstLineChars="150"/>
        <w:rPr>
          <w:b/>
          <w:sz w:val="28"/>
          <w:szCs w:val="28"/>
        </w:rPr>
      </w:pPr>
      <w:r>
        <w:rPr>
          <w:rFonts w:hint="eastAsia"/>
          <w:b/>
          <w:sz w:val="28"/>
          <w:szCs w:val="28"/>
        </w:rPr>
        <w:t>（五）其他需要说明的事项</w:t>
      </w:r>
    </w:p>
    <w:p>
      <w:pPr>
        <w:ind w:firstLine="642" w:firstLineChars="200"/>
        <w:rPr>
          <w:rFonts w:ascii="微软雅黑" w:hAnsi="微软雅黑" w:cs="宋体"/>
          <w:color w:val="000000"/>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初预算0万元，支出决算万元，完成年初预算的0%</w:t>
      </w:r>
      <w:r>
        <w:rPr>
          <w:rFonts w:hint="eastAsia" w:ascii="微软雅黑" w:hAnsi="微软雅黑"/>
          <w:color w:val="000000"/>
          <w:sz w:val="28"/>
          <w:szCs w:val="28"/>
        </w:rPr>
        <w:t>，比上年增加万元，增长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%，原因是本部门无培训费</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0</w:t>
      </w:r>
      <w:r>
        <w:rPr>
          <w:rFonts w:ascii="微软雅黑" w:hAnsi="微软雅黑"/>
          <w:sz w:val="28"/>
          <w:szCs w:val="28"/>
        </w:rPr>
        <w:t>个，组织培训</w:t>
      </w:r>
      <w:r>
        <w:rPr>
          <w:rFonts w:hint="eastAsia" w:ascii="微软雅黑" w:hAnsi="微软雅黑"/>
          <w:sz w:val="28"/>
          <w:szCs w:val="28"/>
        </w:rPr>
        <w:t>0</w:t>
      </w:r>
      <w:r>
        <w:rPr>
          <w:rFonts w:ascii="微软雅黑" w:hAnsi="微软雅黑"/>
          <w:sz w:val="28"/>
          <w:szCs w:val="28"/>
        </w:rPr>
        <w:t>人次。主要为培训……。</w:t>
      </w:r>
    </w:p>
    <w:tbl>
      <w:tblPr>
        <w:tblStyle w:val="12"/>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29.436</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25.73</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both"/>
              <w:rPr>
                <w:rFonts w:ascii="宋体" w:hAnsi="宋体" w:cs="宋体"/>
                <w:color w:val="000000"/>
              </w:rPr>
            </w:pPr>
            <w:r>
              <w:rPr>
                <w:rFonts w:hint="eastAsia" w:ascii="宋体" w:hAnsi="宋体" w:cs="宋体"/>
                <w:color w:val="000000"/>
              </w:rPr>
              <w:t>3.706</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267.6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14.4%</w:t>
            </w:r>
          </w:p>
        </w:tc>
      </w:tr>
    </w:tbl>
    <w:p>
      <w:pPr>
        <w:rPr>
          <w:rFonts w:ascii="仿宋_GB2312" w:hAnsi="楷体" w:eastAsia="仿宋_GB2312"/>
          <w:b/>
          <w:sz w:val="32"/>
          <w:szCs w:val="32"/>
        </w:rPr>
      </w:pPr>
    </w:p>
    <w:p>
      <w:pPr>
        <w:ind w:firstLine="562" w:firstLineChars="200"/>
        <w:rPr>
          <w:rFonts w:ascii="微软雅黑" w:hAnsi="微软雅黑" w:cs="宋体"/>
          <w:color w:val="000000"/>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初预算0万元，支出决算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万元，完成年初预算的0%</w:t>
      </w:r>
      <w:r>
        <w:rPr>
          <w:rFonts w:hint="eastAsia" w:ascii="微软雅黑" w:hAnsi="微软雅黑"/>
          <w:color w:val="000000"/>
          <w:sz w:val="28"/>
          <w:szCs w:val="28"/>
        </w:rPr>
        <w:t>，比上年增加</w:t>
      </w:r>
      <w:r>
        <w:rPr>
          <w:rFonts w:hint="eastAsia" w:ascii="微软雅黑" w:hAnsi="微软雅黑" w:cs="宋体"/>
          <w:color w:val="000000"/>
          <w:sz w:val="28"/>
          <w:szCs w:val="28"/>
        </w:rPr>
        <w:t>-0.3</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%，原因是本部门无会议费</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0</w:t>
      </w:r>
      <w:r>
        <w:rPr>
          <w:rFonts w:ascii="微软雅黑" w:hAnsi="微软雅黑"/>
          <w:sz w:val="28"/>
          <w:szCs w:val="28"/>
        </w:rPr>
        <w:t>个，参加会议</w:t>
      </w:r>
      <w:r>
        <w:rPr>
          <w:rFonts w:hint="eastAsia" w:ascii="微软雅黑" w:hAnsi="微软雅黑"/>
          <w:sz w:val="28"/>
          <w:szCs w:val="28"/>
        </w:rPr>
        <w:t>0</w:t>
      </w:r>
      <w:r>
        <w:rPr>
          <w:rFonts w:ascii="微软雅黑" w:hAnsi="微软雅黑"/>
          <w:sz w:val="28"/>
          <w:szCs w:val="28"/>
        </w:rPr>
        <w:t>人次。主要为召开……。</w:t>
      </w:r>
    </w:p>
    <w:tbl>
      <w:tblPr>
        <w:tblStyle w:val="12"/>
        <w:tblW w:w="8664" w:type="dxa"/>
        <w:tblInd w:w="91" w:type="dxa"/>
        <w:tblLayout w:type="fixed"/>
        <w:tblCellMar>
          <w:top w:w="0" w:type="dxa"/>
          <w:left w:w="108" w:type="dxa"/>
          <w:bottom w:w="0" w:type="dxa"/>
          <w:right w:w="108" w:type="dxa"/>
        </w:tblCellMar>
      </w:tblPr>
      <w:tblGrid>
        <w:gridCol w:w="726"/>
        <w:gridCol w:w="1622"/>
        <w:gridCol w:w="1355"/>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622"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772"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3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3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ind w:firstLine="636"/>
        <w:rPr>
          <w:rFonts w:ascii="仿宋_GB2312" w:hAnsi="仿宋" w:eastAsia="仿宋_GB2312"/>
          <w:sz w:val="32"/>
          <w:szCs w:val="32"/>
        </w:rPr>
      </w:pPr>
    </w:p>
    <w:p>
      <w:pPr>
        <w:spacing w:line="220" w:lineRule="atLeast"/>
        <w:ind w:firstLine="481"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line="220" w:lineRule="atLeast"/>
        <w:ind w:firstLine="480" w:firstLineChars="150"/>
        <w:rPr>
          <w:rFonts w:ascii="仿宋_GB2312" w:hAnsi="仿宋" w:eastAsia="仿宋_GB2312"/>
          <w:sz w:val="32"/>
          <w:szCs w:val="32"/>
        </w:rPr>
      </w:pPr>
      <w:r>
        <w:rPr>
          <w:rFonts w:hint="eastAsia" w:ascii="仿宋_GB2312" w:hAnsi="仿宋" w:eastAsia="仿宋_GB2312"/>
          <w:sz w:val="32"/>
          <w:szCs w:val="32"/>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2"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2"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2"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2"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2"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2"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2"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2"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2"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2"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2"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2"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2"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2"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2" w:firstLineChars="200"/>
        <w:rPr>
          <w:b/>
          <w:sz w:val="28"/>
          <w:szCs w:val="28"/>
        </w:rPr>
      </w:pPr>
      <w:r>
        <w:rPr>
          <w:rFonts w:hint="eastAsia"/>
          <w:b/>
          <w:sz w:val="28"/>
          <w:szCs w:val="28"/>
        </w:rPr>
        <w:t>十五、</w:t>
      </w:r>
      <w:r>
        <w:rPr>
          <w:b/>
          <w:sz w:val="28"/>
          <w:szCs w:val="28"/>
        </w:rPr>
        <w:t>公用经费</w:t>
      </w:r>
      <w:r>
        <w:rPr>
          <w:rFonts w:hint="eastAsia"/>
          <w:b/>
          <w:sz w:val="28"/>
          <w:szCs w:val="28"/>
        </w:rPr>
        <w:t>：</w:t>
      </w:r>
      <w:r>
        <w:rPr>
          <w:rFonts w:ascii="仿宋_GB2312" w:hAnsi="仿宋" w:eastAsia="仿宋_GB2312"/>
          <w:sz w:val="32"/>
          <w:szCs w:val="32"/>
        </w:rPr>
        <w:t>主</w:t>
      </w:r>
      <w:r>
        <w:rPr>
          <w:rFonts w:hint="eastAsia"/>
          <w:sz w:val="28"/>
          <w:szCs w:val="28"/>
        </w:rPr>
        <w:t>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r>
        <w:rPr>
          <w:rFonts w:hint="eastAsia"/>
          <w:b/>
          <w:sz w:val="28"/>
          <w:szCs w:val="28"/>
        </w:rPr>
        <w:t>。</w:t>
      </w:r>
    </w:p>
    <w:p>
      <w:pPr>
        <w:spacing w:line="220" w:lineRule="atLeast"/>
        <w:rPr>
          <w:sz w:val="28"/>
          <w:szCs w:val="28"/>
        </w:rPr>
        <w:sectPr>
          <w:pgSz w:w="11906" w:h="16838"/>
          <w:pgMar w:top="1440" w:right="1800" w:bottom="1440" w:left="1800" w:header="708" w:footer="708" w:gutter="0"/>
          <w:pgNumType w:start="1"/>
          <w:cols w:space="708" w:num="1"/>
          <w:docGrid w:linePitch="360" w:charSpace="0"/>
        </w:sectPr>
      </w:pPr>
      <w:r>
        <w:rPr>
          <w:rFonts w:hint="eastAsia"/>
          <w:b/>
          <w:sz w:val="28"/>
          <w:szCs w:val="28"/>
        </w:rPr>
        <w:t>第五部分 附件</w:t>
      </w:r>
      <w:r>
        <w:rPr>
          <w:rFonts w:hint="eastAsia"/>
          <w:sz w:val="28"/>
          <w:szCs w:val="28"/>
        </w:rPr>
        <w:t xml:space="preserve">      因我单位属于涉密单位，该部分不予公开。    </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E3018"/>
    <w:multiLevelType w:val="singleLevel"/>
    <w:tmpl w:val="EFDE3018"/>
    <w:lvl w:ilvl="0" w:tentative="0">
      <w:start w:val="4"/>
      <w:numFmt w:val="chineseCounting"/>
      <w:suff w:val="nothing"/>
      <w:lvlText w:val="%1、"/>
      <w:lvlJc w:val="left"/>
      <w:rPr>
        <w:rFonts w:hint="eastAsia"/>
      </w:rPr>
    </w:lvl>
  </w:abstractNum>
  <w:abstractNum w:abstractNumId="1">
    <w:nsid w:val="046F4787"/>
    <w:multiLevelType w:val="multilevel"/>
    <w:tmpl w:val="046F4787"/>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YTgwYzY3MzQ5YTNmNzJiYjViODU1MjY5N2I0NzYifQ=="/>
  </w:docVars>
  <w:rsids>
    <w:rsidRoot w:val="00D31D50"/>
    <w:rsid w:val="000034DB"/>
    <w:rsid w:val="00015092"/>
    <w:rsid w:val="0005123B"/>
    <w:rsid w:val="00055EA4"/>
    <w:rsid w:val="0005715E"/>
    <w:rsid w:val="00065A92"/>
    <w:rsid w:val="000A5B5D"/>
    <w:rsid w:val="000B4C5F"/>
    <w:rsid w:val="000B6182"/>
    <w:rsid w:val="000C4302"/>
    <w:rsid w:val="000D30E1"/>
    <w:rsid w:val="00107F25"/>
    <w:rsid w:val="00112EF7"/>
    <w:rsid w:val="001151FD"/>
    <w:rsid w:val="00116783"/>
    <w:rsid w:val="00124148"/>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14B7"/>
    <w:rsid w:val="0060630C"/>
    <w:rsid w:val="006138A3"/>
    <w:rsid w:val="00626F0F"/>
    <w:rsid w:val="00632EB9"/>
    <w:rsid w:val="00642893"/>
    <w:rsid w:val="006771DA"/>
    <w:rsid w:val="006B011C"/>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32FF7"/>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71630"/>
    <w:rsid w:val="009A533E"/>
    <w:rsid w:val="009A5671"/>
    <w:rsid w:val="009A6452"/>
    <w:rsid w:val="009B34F8"/>
    <w:rsid w:val="009C4F82"/>
    <w:rsid w:val="009D6C64"/>
    <w:rsid w:val="009F5570"/>
    <w:rsid w:val="00A46367"/>
    <w:rsid w:val="00A61FAF"/>
    <w:rsid w:val="00A73E29"/>
    <w:rsid w:val="00A76713"/>
    <w:rsid w:val="00A86E94"/>
    <w:rsid w:val="00A9095B"/>
    <w:rsid w:val="00AD0D4F"/>
    <w:rsid w:val="00AD7358"/>
    <w:rsid w:val="00AD7F7B"/>
    <w:rsid w:val="00AE1E0B"/>
    <w:rsid w:val="00AF1714"/>
    <w:rsid w:val="00AF73B7"/>
    <w:rsid w:val="00B05C60"/>
    <w:rsid w:val="00B11481"/>
    <w:rsid w:val="00B24AE1"/>
    <w:rsid w:val="00B81AA3"/>
    <w:rsid w:val="00B87AD6"/>
    <w:rsid w:val="00B945EF"/>
    <w:rsid w:val="00B96867"/>
    <w:rsid w:val="00B969B8"/>
    <w:rsid w:val="00BA7163"/>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E065D"/>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1395070"/>
    <w:rsid w:val="028F4F7F"/>
    <w:rsid w:val="02BB6044"/>
    <w:rsid w:val="02EF7AB1"/>
    <w:rsid w:val="03603095"/>
    <w:rsid w:val="039D6AF6"/>
    <w:rsid w:val="0546022A"/>
    <w:rsid w:val="05A70922"/>
    <w:rsid w:val="05E700DB"/>
    <w:rsid w:val="06A43F69"/>
    <w:rsid w:val="07F14C35"/>
    <w:rsid w:val="080923B5"/>
    <w:rsid w:val="089D3D2A"/>
    <w:rsid w:val="0922463B"/>
    <w:rsid w:val="0955636F"/>
    <w:rsid w:val="095C18FB"/>
    <w:rsid w:val="0A187F18"/>
    <w:rsid w:val="0A5922DF"/>
    <w:rsid w:val="0B565C41"/>
    <w:rsid w:val="0B6F582F"/>
    <w:rsid w:val="0CAA7721"/>
    <w:rsid w:val="0CAE2A56"/>
    <w:rsid w:val="0CE11EDD"/>
    <w:rsid w:val="0E2C71A7"/>
    <w:rsid w:val="0F4418B7"/>
    <w:rsid w:val="13AD3BEA"/>
    <w:rsid w:val="13E75FCC"/>
    <w:rsid w:val="14620ED5"/>
    <w:rsid w:val="14705645"/>
    <w:rsid w:val="152754B3"/>
    <w:rsid w:val="1594066F"/>
    <w:rsid w:val="15E73D6A"/>
    <w:rsid w:val="16461969"/>
    <w:rsid w:val="16BE47F8"/>
    <w:rsid w:val="173073DC"/>
    <w:rsid w:val="17570A0C"/>
    <w:rsid w:val="184024BB"/>
    <w:rsid w:val="1ABC327F"/>
    <w:rsid w:val="1AF20311"/>
    <w:rsid w:val="1CD13F56"/>
    <w:rsid w:val="1D9B183F"/>
    <w:rsid w:val="1DDA6E3B"/>
    <w:rsid w:val="1E503129"/>
    <w:rsid w:val="1F931605"/>
    <w:rsid w:val="1F996945"/>
    <w:rsid w:val="267316FE"/>
    <w:rsid w:val="26E307B2"/>
    <w:rsid w:val="2873535F"/>
    <w:rsid w:val="28A27002"/>
    <w:rsid w:val="2AAD4334"/>
    <w:rsid w:val="2B2C275F"/>
    <w:rsid w:val="2B5854AB"/>
    <w:rsid w:val="2BE239B4"/>
    <w:rsid w:val="2C014B56"/>
    <w:rsid w:val="311378EB"/>
    <w:rsid w:val="340309EE"/>
    <w:rsid w:val="35916A28"/>
    <w:rsid w:val="359B3398"/>
    <w:rsid w:val="35F33B87"/>
    <w:rsid w:val="35FB40C6"/>
    <w:rsid w:val="36CC5A63"/>
    <w:rsid w:val="3AC91709"/>
    <w:rsid w:val="3B797297"/>
    <w:rsid w:val="3BC128AD"/>
    <w:rsid w:val="3DA74008"/>
    <w:rsid w:val="3E832EAB"/>
    <w:rsid w:val="3EB964D8"/>
    <w:rsid w:val="3FEA6BDE"/>
    <w:rsid w:val="422F2E40"/>
    <w:rsid w:val="42A81132"/>
    <w:rsid w:val="446B4125"/>
    <w:rsid w:val="45764544"/>
    <w:rsid w:val="467A2DE5"/>
    <w:rsid w:val="490428EB"/>
    <w:rsid w:val="49AA27DD"/>
    <w:rsid w:val="49D22F38"/>
    <w:rsid w:val="4A3E6278"/>
    <w:rsid w:val="4A7700FB"/>
    <w:rsid w:val="4B3565B7"/>
    <w:rsid w:val="4F5C3C95"/>
    <w:rsid w:val="50B160F9"/>
    <w:rsid w:val="53DD2AE1"/>
    <w:rsid w:val="540C5299"/>
    <w:rsid w:val="54124116"/>
    <w:rsid w:val="544E58B1"/>
    <w:rsid w:val="554305CE"/>
    <w:rsid w:val="56C44CD8"/>
    <w:rsid w:val="58E3481A"/>
    <w:rsid w:val="59837DAB"/>
    <w:rsid w:val="5C3E79C3"/>
    <w:rsid w:val="5C4800FE"/>
    <w:rsid w:val="5E9B13B4"/>
    <w:rsid w:val="5EE620DC"/>
    <w:rsid w:val="5F4C7D43"/>
    <w:rsid w:val="60D22C74"/>
    <w:rsid w:val="617A7F27"/>
    <w:rsid w:val="61E42D47"/>
    <w:rsid w:val="623A7928"/>
    <w:rsid w:val="631B2E02"/>
    <w:rsid w:val="634A1B87"/>
    <w:rsid w:val="647E66F3"/>
    <w:rsid w:val="64ED07CF"/>
    <w:rsid w:val="65EC12A9"/>
    <w:rsid w:val="66C57C55"/>
    <w:rsid w:val="67965C0D"/>
    <w:rsid w:val="68EC2821"/>
    <w:rsid w:val="69524F7E"/>
    <w:rsid w:val="695F7079"/>
    <w:rsid w:val="69E4607D"/>
    <w:rsid w:val="69F24DA0"/>
    <w:rsid w:val="6A444C28"/>
    <w:rsid w:val="6AAB499B"/>
    <w:rsid w:val="6C8420EA"/>
    <w:rsid w:val="6CB53EBD"/>
    <w:rsid w:val="6D2D6575"/>
    <w:rsid w:val="6E162925"/>
    <w:rsid w:val="6EDB1A1D"/>
    <w:rsid w:val="6EE27039"/>
    <w:rsid w:val="70297141"/>
    <w:rsid w:val="70333CEA"/>
    <w:rsid w:val="729F466F"/>
    <w:rsid w:val="742A7349"/>
    <w:rsid w:val="747D56CB"/>
    <w:rsid w:val="74BE7172"/>
    <w:rsid w:val="74F11941"/>
    <w:rsid w:val="75FB4907"/>
    <w:rsid w:val="76C0793C"/>
    <w:rsid w:val="77C110E7"/>
    <w:rsid w:val="791C1129"/>
    <w:rsid w:val="79A9023B"/>
    <w:rsid w:val="79CF7DCC"/>
    <w:rsid w:val="7A0D43CE"/>
    <w:rsid w:val="7A6531B2"/>
    <w:rsid w:val="7B5178B1"/>
    <w:rsid w:val="7DFE760C"/>
    <w:rsid w:val="7FBA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8">
    <w:name w:val="heading 2"/>
    <w:basedOn w:val="1"/>
    <w:next w:val="1"/>
    <w:qFormat/>
    <w:uiPriority w:val="0"/>
    <w:pPr>
      <w:keepNext/>
      <w:keepLines/>
      <w:widowControl w:val="0"/>
      <w:spacing w:line="415" w:lineRule="auto"/>
      <w:outlineLvl w:val="1"/>
    </w:pPr>
    <w:rPr>
      <w:rFonts w:ascii="Cambria" w:hAnsi="Cambria" w:cs="Cambria"/>
      <w:b/>
      <w:bCs/>
      <w:sz w:val="32"/>
      <w:szCs w:val="32"/>
    </w:rPr>
  </w:style>
  <w:style w:type="paragraph" w:styleId="9">
    <w:name w:val="heading 3"/>
    <w:basedOn w:val="1"/>
    <w:next w:val="1"/>
    <w:qFormat/>
    <w:uiPriority w:val="9"/>
    <w:pPr>
      <w:keepNext/>
      <w:keepLines/>
      <w:spacing w:before="260" w:after="260" w:line="416" w:lineRule="auto"/>
      <w:outlineLvl w:val="2"/>
    </w:pPr>
    <w:rPr>
      <w:b/>
      <w:bCs/>
      <w:sz w:val="32"/>
      <w:szCs w:val="32"/>
      <w:lang w:val="zh-CN"/>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line="570" w:lineRule="exact"/>
      <w:ind w:firstLine="616" w:firstLineChars="200"/>
    </w:pPr>
    <w:rPr>
      <w:rFonts w:ascii="Times New Roman" w:hAnsi="Times New Roman" w:eastAsia="宋体"/>
      <w:spacing w:val="-6"/>
    </w:rPr>
  </w:style>
  <w:style w:type="paragraph" w:styleId="4">
    <w:name w:val="Body Text First Indent"/>
    <w:basedOn w:val="5"/>
    <w:next w:val="7"/>
    <w:qFormat/>
    <w:uiPriority w:val="0"/>
    <w:pPr>
      <w:ind w:firstLine="420"/>
    </w:pPr>
    <w:rPr>
      <w:rFonts w:ascii="Times New Roman" w:hAnsi="Times New Roman" w:eastAsia="宋体"/>
    </w:rPr>
  </w:style>
  <w:style w:type="paragraph" w:styleId="5">
    <w:name w:val="Body Text"/>
    <w:basedOn w:val="1"/>
    <w:next w:val="6"/>
    <w:qFormat/>
    <w:uiPriority w:val="0"/>
    <w:pPr>
      <w:spacing w:after="140" w:line="276" w:lineRule="auto"/>
    </w:pPr>
  </w:style>
  <w:style w:type="paragraph" w:styleId="6">
    <w:name w:val="Body Text 2"/>
    <w:basedOn w:val="1"/>
    <w:qFormat/>
    <w:uiPriority w:val="0"/>
    <w:pPr>
      <w:spacing w:line="480" w:lineRule="auto"/>
    </w:pPr>
    <w:rPr>
      <w:rFonts w:ascii="Times New Roman" w:hAnsi="Times New Roman" w:eastAsia="宋体"/>
    </w:rPr>
  </w:style>
  <w:style w:type="paragraph" w:styleId="7">
    <w:name w:val="Normal Indent"/>
    <w:basedOn w:val="1"/>
    <w:qFormat/>
    <w:uiPriority w:val="0"/>
    <w:pPr>
      <w:ind w:firstLine="420" w:firstLineChars="200"/>
    </w:pPr>
    <w:rPr>
      <w:rFonts w:ascii="Calibri" w:hAnsi="Calibri" w:eastAsia="宋体" w:cs="黑体"/>
    </w:rPr>
  </w:style>
  <w:style w:type="paragraph" w:styleId="10">
    <w:name w:val="footer"/>
    <w:basedOn w:val="1"/>
    <w:link w:val="15"/>
    <w:semiHidden/>
    <w:unhideWhenUsed/>
    <w:qFormat/>
    <w:uiPriority w:val="99"/>
    <w:pPr>
      <w:tabs>
        <w:tab w:val="center" w:pos="4153"/>
        <w:tab w:val="right" w:pos="8306"/>
      </w:tabs>
    </w:pPr>
    <w:rPr>
      <w:sz w:val="18"/>
      <w:szCs w:val="18"/>
    </w:rPr>
  </w:style>
  <w:style w:type="paragraph" w:styleId="11">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4">
    <w:name w:val="页眉 Char"/>
    <w:basedOn w:val="13"/>
    <w:link w:val="11"/>
    <w:semiHidden/>
    <w:qFormat/>
    <w:uiPriority w:val="99"/>
    <w:rPr>
      <w:rFonts w:ascii="Tahoma" w:hAnsi="Tahoma"/>
      <w:sz w:val="18"/>
      <w:szCs w:val="18"/>
    </w:rPr>
  </w:style>
  <w:style w:type="character" w:customStyle="1" w:styleId="15">
    <w:name w:val="页脚 Char"/>
    <w:basedOn w:val="13"/>
    <w:link w:val="10"/>
    <w:semiHidden/>
    <w:qFormat/>
    <w:uiPriority w:val="99"/>
    <w:rPr>
      <w:rFonts w:ascii="Tahoma" w:hAnsi="Tahoma"/>
      <w:sz w:val="18"/>
      <w:szCs w:val="18"/>
    </w:rPr>
  </w:style>
  <w:style w:type="paragraph" w:styleId="16">
    <w:name w:val="No Spacing"/>
    <w:qFormat/>
    <w:uiPriority w:val="99"/>
    <w:pPr>
      <w:ind w:firstLine="200" w:firstLineChars="200"/>
    </w:pPr>
    <w:rPr>
      <w:rFonts w:ascii="Times New Roman" w:hAnsi="Times New Roman" w:eastAsia="仿宋_GB2312" w:cs="Times New Roman"/>
      <w:sz w:val="30"/>
      <w:szCs w:val="22"/>
      <w:lang w:val="en-US" w:eastAsia="zh-CN" w:bidi="ar-SA"/>
    </w:rPr>
  </w:style>
  <w:style w:type="paragraph" w:customStyle="1" w:styleId="17">
    <w:name w:val="闻政标题4"/>
    <w:basedOn w:val="8"/>
    <w:qFormat/>
    <w:uiPriority w:val="0"/>
    <w:pPr>
      <w:spacing w:before="120" w:after="60" w:line="500" w:lineRule="exact"/>
      <w:ind w:firstLine="200" w:firstLineChars="200"/>
    </w:pPr>
    <w:rPr>
      <w:rFonts w:ascii="Times New Roman" w:hAnsi="Times New Roman" w:eastAsia="仿宋_GB2312"/>
      <w:sz w:val="28"/>
    </w:rPr>
  </w:style>
  <w:style w:type="paragraph" w:customStyle="1" w:styleId="18">
    <w:name w:val="闻政正文"/>
    <w:basedOn w:val="1"/>
    <w:qFormat/>
    <w:uiPriority w:val="0"/>
    <w:pPr>
      <w:spacing w:line="500" w:lineRule="exact"/>
      <w:ind w:firstLine="560" w:firstLineChars="200"/>
    </w:pPr>
    <w:rPr>
      <w:rFonts w:eastAsia="仿宋_GB2312"/>
      <w:sz w:val="28"/>
      <w:szCs w:val="28"/>
      <w:lang w:val="zh-CN"/>
    </w:rPr>
  </w:style>
  <w:style w:type="paragraph" w:customStyle="1" w:styleId="19">
    <w:name w:val="闻政标题3"/>
    <w:basedOn w:val="9"/>
    <w:qFormat/>
    <w:uiPriority w:val="0"/>
    <w:pPr>
      <w:spacing w:before="120" w:after="60" w:line="500" w:lineRule="exact"/>
      <w:outlineLvl w:val="0"/>
    </w:pPr>
    <w:rPr>
      <w:rFonts w:ascii="黑体" w:hAnsi="黑体" w:eastAsia="黑体"/>
      <w:b w:val="0"/>
    </w:rPr>
  </w:style>
  <w:style w:type="paragraph" w:customStyle="1" w:styleId="20">
    <w:name w:val="闻政表"/>
    <w:basedOn w:val="1"/>
    <w:qFormat/>
    <w:uiPriority w:val="0"/>
    <w:pPr>
      <w:spacing w:before="60" w:after="60"/>
      <w:jc w:val="center"/>
    </w:pPr>
    <w:rPr>
      <w:rFonts w:eastAsia="仿宋_GB2312"/>
      <w:b/>
      <w:sz w:val="24"/>
      <w:szCs w:val="28"/>
      <w:lang w:val="zh-CN"/>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1566</Words>
  <Characters>8928</Characters>
  <Lines>74</Lines>
  <Paragraphs>20</Paragraphs>
  <TotalTime>16</TotalTime>
  <ScaleCrop>false</ScaleCrop>
  <LinksUpToDate>false</LinksUpToDate>
  <CharactersWithSpaces>10474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2022-05-16T17:49:00Z</dcterms:created>
  <dc:creator>Administrator</dc:creator>
  <cp:lastModifiedBy>user</cp:lastModifiedBy>
  <dcterms:modified xsi:type="dcterms:W3CDTF">2024-04-17T09:15:23Z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8A9D51998D2A4D788D355314ED979D5E</vt:lpwstr>
  </property>
</Properties>
</file>