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00" w:lineRule="exact"/>
        <w:rPr>
          <w:color w:val="000000"/>
        </w:rPr>
      </w:pPr>
      <w:r>
        <w:rPr>
          <w:rFonts w:hint="eastAsia"/>
          <w:color w:val="000000"/>
        </w:rPr>
        <w:t>附件</w:t>
      </w:r>
    </w:p>
    <w:p>
      <w:pPr>
        <w:spacing w:after="0" w:line="500" w:lineRule="exact"/>
        <w:jc w:val="center"/>
        <w:rPr>
          <w:b/>
          <w:color w:val="000000"/>
          <w:sz w:val="32"/>
          <w:szCs w:val="32"/>
        </w:rPr>
      </w:pPr>
    </w:p>
    <w:p>
      <w:pPr>
        <w:spacing w:after="0" w:line="500" w:lineRule="exact"/>
        <w:jc w:val="center"/>
        <w:rPr>
          <w:color w:val="000000"/>
        </w:rPr>
      </w:pPr>
      <w:bookmarkStart w:id="0" w:name="_GoBack"/>
      <w:r>
        <w:rPr>
          <w:rFonts w:hint="eastAsia"/>
          <w:b/>
          <w:color w:val="000000"/>
          <w:sz w:val="32"/>
          <w:szCs w:val="32"/>
        </w:rPr>
        <w:t>510平顺县北社乡人民政府2021年度部门决算公开</w:t>
      </w:r>
    </w:p>
    <w:p>
      <w:pPr>
        <w:spacing w:after="0" w:line="500" w:lineRule="exact"/>
        <w:jc w:val="center"/>
        <w:rPr>
          <w:b/>
          <w:color w:val="000000"/>
        </w:rPr>
      </w:pPr>
      <w:r>
        <w:rPr>
          <w:rFonts w:hint="eastAsia"/>
          <w:b/>
          <w:color w:val="000000"/>
          <w:sz w:val="32"/>
          <w:szCs w:val="32"/>
        </w:rPr>
        <w:t>目      录</w:t>
      </w:r>
    </w:p>
    <w:bookmarkEnd w:id="0"/>
    <w:p>
      <w:pPr>
        <w:spacing w:after="0" w:line="500" w:lineRule="exact"/>
        <w:rPr>
          <w:b/>
          <w:color w:val="000000"/>
          <w:sz w:val="28"/>
          <w:szCs w:val="28"/>
        </w:rPr>
      </w:pPr>
      <w:r>
        <w:rPr>
          <w:rFonts w:hint="eastAsia"/>
          <w:b/>
          <w:color w:val="000000"/>
          <w:sz w:val="28"/>
          <w:szCs w:val="28"/>
        </w:rPr>
        <w:t>第一部分    概况</w:t>
      </w:r>
    </w:p>
    <w:p>
      <w:pPr>
        <w:spacing w:after="0" w:line="500" w:lineRule="exact"/>
        <w:rPr>
          <w:color w:val="000000"/>
          <w:sz w:val="28"/>
          <w:szCs w:val="28"/>
        </w:rPr>
      </w:pPr>
      <w:r>
        <w:rPr>
          <w:rFonts w:hint="eastAsia"/>
          <w:color w:val="000000"/>
          <w:sz w:val="28"/>
          <w:szCs w:val="28"/>
        </w:rPr>
        <w:t>一、本部门职责</w:t>
      </w:r>
    </w:p>
    <w:p>
      <w:pPr>
        <w:spacing w:after="0" w:line="500" w:lineRule="exact"/>
        <w:rPr>
          <w:color w:val="000000"/>
          <w:sz w:val="28"/>
          <w:szCs w:val="28"/>
        </w:rPr>
      </w:pPr>
      <w:r>
        <w:rPr>
          <w:rFonts w:hint="eastAsia"/>
          <w:color w:val="000000"/>
          <w:sz w:val="28"/>
          <w:szCs w:val="28"/>
        </w:rPr>
        <w:t>二、机构设置情况</w:t>
      </w:r>
    </w:p>
    <w:p>
      <w:pPr>
        <w:spacing w:after="0" w:line="500" w:lineRule="exact"/>
        <w:rPr>
          <w:color w:val="000000"/>
          <w:sz w:val="28"/>
          <w:szCs w:val="28"/>
        </w:rPr>
      </w:pPr>
      <w:r>
        <w:rPr>
          <w:rFonts w:hint="eastAsia"/>
          <w:color w:val="000000"/>
          <w:sz w:val="28"/>
          <w:szCs w:val="28"/>
        </w:rPr>
        <w:t>三、年度工作计划及执行情况</w:t>
      </w:r>
    </w:p>
    <w:p>
      <w:pPr>
        <w:spacing w:after="0" w:line="500" w:lineRule="exact"/>
        <w:rPr>
          <w:b/>
          <w:color w:val="000000"/>
          <w:sz w:val="28"/>
          <w:szCs w:val="28"/>
        </w:rPr>
      </w:pPr>
      <w:r>
        <w:rPr>
          <w:rFonts w:hint="eastAsia"/>
          <w:b/>
          <w:color w:val="000000"/>
          <w:sz w:val="28"/>
          <w:szCs w:val="28"/>
        </w:rPr>
        <w:t>第二部分    2021年度部门决算报表</w:t>
      </w:r>
    </w:p>
    <w:p>
      <w:pPr>
        <w:spacing w:after="0" w:line="500" w:lineRule="exact"/>
        <w:rPr>
          <w:color w:val="000000"/>
          <w:sz w:val="28"/>
          <w:szCs w:val="28"/>
        </w:rPr>
      </w:pPr>
      <w:r>
        <w:rPr>
          <w:rFonts w:hint="eastAsia"/>
          <w:color w:val="000000"/>
          <w:sz w:val="28"/>
          <w:szCs w:val="28"/>
        </w:rPr>
        <w:t>一、收入支出决算总表</w:t>
      </w:r>
    </w:p>
    <w:p>
      <w:pPr>
        <w:spacing w:after="0" w:line="500" w:lineRule="exact"/>
        <w:rPr>
          <w:color w:val="000000"/>
          <w:sz w:val="28"/>
          <w:szCs w:val="28"/>
        </w:rPr>
      </w:pPr>
      <w:r>
        <w:rPr>
          <w:rFonts w:hint="eastAsia"/>
          <w:color w:val="000000"/>
          <w:sz w:val="28"/>
          <w:szCs w:val="28"/>
        </w:rPr>
        <w:t>二、收入决算表</w:t>
      </w:r>
    </w:p>
    <w:p>
      <w:pPr>
        <w:spacing w:after="0" w:line="500" w:lineRule="exact"/>
        <w:rPr>
          <w:color w:val="000000"/>
          <w:sz w:val="28"/>
          <w:szCs w:val="28"/>
        </w:rPr>
      </w:pPr>
      <w:r>
        <w:rPr>
          <w:rFonts w:hint="eastAsia"/>
          <w:color w:val="000000"/>
          <w:sz w:val="28"/>
          <w:szCs w:val="28"/>
        </w:rPr>
        <w:t>三、支出决算表</w:t>
      </w:r>
    </w:p>
    <w:p>
      <w:pPr>
        <w:spacing w:after="0" w:line="500" w:lineRule="exact"/>
        <w:rPr>
          <w:color w:val="000000"/>
          <w:sz w:val="28"/>
          <w:szCs w:val="28"/>
        </w:rPr>
      </w:pPr>
      <w:r>
        <w:rPr>
          <w:rFonts w:hint="eastAsia"/>
          <w:color w:val="000000"/>
          <w:sz w:val="28"/>
          <w:szCs w:val="28"/>
        </w:rPr>
        <w:t>四、财政拨款收入支出决算总表</w:t>
      </w:r>
    </w:p>
    <w:p>
      <w:pPr>
        <w:spacing w:after="0" w:line="500" w:lineRule="exact"/>
        <w:rPr>
          <w:color w:val="000000"/>
          <w:sz w:val="28"/>
          <w:szCs w:val="28"/>
        </w:rPr>
      </w:pPr>
      <w:r>
        <w:rPr>
          <w:rFonts w:hint="eastAsia"/>
          <w:color w:val="000000"/>
          <w:sz w:val="28"/>
          <w:szCs w:val="28"/>
        </w:rPr>
        <w:t>五、一般公共预算财政拨款支出决算表（一）</w:t>
      </w:r>
    </w:p>
    <w:p>
      <w:pPr>
        <w:spacing w:after="0" w:line="500" w:lineRule="exact"/>
        <w:rPr>
          <w:color w:val="000000"/>
          <w:sz w:val="28"/>
          <w:szCs w:val="28"/>
        </w:rPr>
      </w:pPr>
      <w:r>
        <w:rPr>
          <w:rFonts w:hint="eastAsia"/>
          <w:color w:val="000000"/>
          <w:sz w:val="28"/>
          <w:szCs w:val="28"/>
        </w:rPr>
        <w:t>六、一般公共预算财政拨款支出决算表（二）</w:t>
      </w:r>
    </w:p>
    <w:p>
      <w:pPr>
        <w:spacing w:after="0" w:line="500" w:lineRule="exact"/>
        <w:rPr>
          <w:color w:val="000000"/>
          <w:sz w:val="28"/>
          <w:szCs w:val="28"/>
        </w:rPr>
      </w:pPr>
      <w:r>
        <w:rPr>
          <w:rFonts w:hint="eastAsia"/>
          <w:color w:val="000000"/>
          <w:sz w:val="28"/>
          <w:szCs w:val="28"/>
        </w:rPr>
        <w:t>七、一般公共预算财政拨款“三公”经费支出决算表</w:t>
      </w:r>
    </w:p>
    <w:p>
      <w:pPr>
        <w:spacing w:after="0" w:line="500" w:lineRule="exact"/>
        <w:rPr>
          <w:color w:val="000000"/>
          <w:sz w:val="28"/>
          <w:szCs w:val="28"/>
        </w:rPr>
      </w:pPr>
      <w:r>
        <w:rPr>
          <w:rFonts w:hint="eastAsia"/>
          <w:color w:val="000000"/>
          <w:sz w:val="28"/>
          <w:szCs w:val="28"/>
        </w:rPr>
        <w:t>八、政府性基金预算财政拨款收入支出决算表</w:t>
      </w:r>
    </w:p>
    <w:p>
      <w:pPr>
        <w:spacing w:after="0" w:line="500" w:lineRule="exact"/>
        <w:rPr>
          <w:color w:val="000000"/>
          <w:sz w:val="28"/>
          <w:szCs w:val="28"/>
        </w:rPr>
      </w:pPr>
      <w:r>
        <w:rPr>
          <w:rFonts w:hint="eastAsia"/>
          <w:color w:val="000000"/>
          <w:sz w:val="28"/>
          <w:szCs w:val="28"/>
        </w:rPr>
        <w:t>九、国有资本经营预算财政拨款支出决算表</w:t>
      </w:r>
    </w:p>
    <w:p>
      <w:pPr>
        <w:spacing w:after="0" w:line="500" w:lineRule="exact"/>
        <w:rPr>
          <w:color w:val="000000"/>
          <w:sz w:val="28"/>
          <w:szCs w:val="28"/>
        </w:rPr>
      </w:pPr>
      <w:r>
        <w:rPr>
          <w:rFonts w:hint="eastAsia"/>
          <w:color w:val="000000"/>
          <w:sz w:val="28"/>
          <w:szCs w:val="28"/>
        </w:rPr>
        <w:t>十、部门决算公开相关信息统计表</w:t>
      </w:r>
    </w:p>
    <w:p>
      <w:pPr>
        <w:spacing w:after="0" w:line="500" w:lineRule="exact"/>
        <w:rPr>
          <w:b/>
          <w:color w:val="000000"/>
          <w:sz w:val="28"/>
          <w:szCs w:val="28"/>
        </w:rPr>
      </w:pPr>
      <w:r>
        <w:rPr>
          <w:rFonts w:hint="eastAsia"/>
          <w:b/>
          <w:color w:val="000000"/>
          <w:sz w:val="28"/>
          <w:szCs w:val="28"/>
        </w:rPr>
        <w:t>第三部分   2021年度部门决算情况说明</w:t>
      </w:r>
    </w:p>
    <w:p>
      <w:pPr>
        <w:spacing w:after="0" w:line="500" w:lineRule="exact"/>
        <w:rPr>
          <w:color w:val="000000"/>
          <w:sz w:val="28"/>
          <w:szCs w:val="28"/>
        </w:rPr>
      </w:pPr>
      <w:r>
        <w:rPr>
          <w:rFonts w:hint="eastAsia"/>
          <w:color w:val="000000"/>
          <w:sz w:val="28"/>
          <w:szCs w:val="28"/>
        </w:rPr>
        <w:t>一、收入支出决算总体情况说明</w:t>
      </w:r>
    </w:p>
    <w:p>
      <w:pPr>
        <w:spacing w:after="0" w:line="500" w:lineRule="exact"/>
        <w:rPr>
          <w:color w:val="000000"/>
          <w:sz w:val="28"/>
          <w:szCs w:val="28"/>
        </w:rPr>
      </w:pPr>
      <w:r>
        <w:rPr>
          <w:rFonts w:hint="eastAsia"/>
          <w:color w:val="000000"/>
          <w:sz w:val="28"/>
          <w:szCs w:val="28"/>
        </w:rPr>
        <w:t>二、收入决算情况说明</w:t>
      </w:r>
    </w:p>
    <w:p>
      <w:pPr>
        <w:spacing w:after="0" w:line="500" w:lineRule="exact"/>
        <w:rPr>
          <w:color w:val="000000"/>
          <w:sz w:val="28"/>
          <w:szCs w:val="28"/>
        </w:rPr>
      </w:pPr>
      <w:r>
        <w:rPr>
          <w:rFonts w:hint="eastAsia"/>
          <w:color w:val="000000"/>
          <w:sz w:val="28"/>
          <w:szCs w:val="28"/>
        </w:rPr>
        <w:t>三、支出决算情况说明</w:t>
      </w:r>
    </w:p>
    <w:p>
      <w:pPr>
        <w:spacing w:after="0" w:line="500" w:lineRule="exact"/>
        <w:rPr>
          <w:color w:val="000000"/>
          <w:sz w:val="28"/>
          <w:szCs w:val="28"/>
        </w:rPr>
      </w:pPr>
      <w:r>
        <w:rPr>
          <w:rFonts w:hint="eastAsia"/>
          <w:color w:val="000000"/>
          <w:sz w:val="28"/>
          <w:szCs w:val="28"/>
        </w:rPr>
        <w:t>四、财政拨款收入支出决算总体情况说明</w:t>
      </w:r>
    </w:p>
    <w:p>
      <w:pPr>
        <w:spacing w:after="0" w:line="500" w:lineRule="exact"/>
        <w:rPr>
          <w:color w:val="000000"/>
          <w:sz w:val="28"/>
          <w:szCs w:val="28"/>
        </w:rPr>
      </w:pPr>
      <w:r>
        <w:rPr>
          <w:rFonts w:hint="eastAsia"/>
          <w:color w:val="000000"/>
          <w:sz w:val="28"/>
          <w:szCs w:val="28"/>
        </w:rPr>
        <w:t>五、一般公共预算财政拨款支出决算情况说明</w:t>
      </w:r>
    </w:p>
    <w:p>
      <w:pPr>
        <w:spacing w:after="0" w:line="500" w:lineRule="exact"/>
        <w:rPr>
          <w:color w:val="000000"/>
          <w:sz w:val="28"/>
          <w:szCs w:val="28"/>
        </w:rPr>
      </w:pPr>
      <w:r>
        <w:rPr>
          <w:rFonts w:hint="eastAsia"/>
          <w:color w:val="000000"/>
          <w:sz w:val="28"/>
          <w:szCs w:val="28"/>
        </w:rPr>
        <w:t>六、一般公共预算财政拨款基本支出决算情况说明</w:t>
      </w:r>
    </w:p>
    <w:p>
      <w:pPr>
        <w:spacing w:after="0" w:line="500" w:lineRule="exact"/>
        <w:rPr>
          <w:color w:val="000000"/>
          <w:sz w:val="28"/>
          <w:szCs w:val="28"/>
        </w:rPr>
      </w:pPr>
      <w:r>
        <w:rPr>
          <w:rFonts w:hint="eastAsia"/>
          <w:color w:val="000000"/>
          <w:sz w:val="28"/>
          <w:szCs w:val="28"/>
        </w:rPr>
        <w:t>七、一般公共预算财政拨款“三公”经费支出决算情况说明</w:t>
      </w:r>
    </w:p>
    <w:p>
      <w:pPr>
        <w:spacing w:after="0" w:line="500" w:lineRule="exact"/>
        <w:rPr>
          <w:color w:val="000000"/>
          <w:sz w:val="28"/>
          <w:szCs w:val="28"/>
        </w:rPr>
      </w:pPr>
      <w:r>
        <w:rPr>
          <w:rFonts w:hint="eastAsia"/>
          <w:color w:val="000000"/>
          <w:sz w:val="28"/>
          <w:szCs w:val="28"/>
        </w:rPr>
        <w:t>八、其他重要事项情况说明</w:t>
      </w:r>
    </w:p>
    <w:p>
      <w:pPr>
        <w:spacing w:after="0" w:line="500" w:lineRule="exact"/>
        <w:rPr>
          <w:b/>
          <w:color w:val="000000"/>
          <w:sz w:val="28"/>
          <w:szCs w:val="28"/>
        </w:rPr>
      </w:pPr>
      <w:r>
        <w:rPr>
          <w:rFonts w:hint="eastAsia"/>
          <w:b/>
          <w:color w:val="000000"/>
          <w:sz w:val="28"/>
          <w:szCs w:val="28"/>
        </w:rPr>
        <w:t>第四部分    名词解释</w:t>
      </w:r>
    </w:p>
    <w:p>
      <w:pPr>
        <w:spacing w:after="0" w:line="500" w:lineRule="exact"/>
        <w:rPr>
          <w:b/>
          <w:color w:val="000000"/>
          <w:sz w:val="28"/>
          <w:szCs w:val="28"/>
        </w:rPr>
      </w:pPr>
      <w:r>
        <w:rPr>
          <w:rFonts w:hint="eastAsia"/>
          <w:b/>
          <w:color w:val="000000"/>
          <w:sz w:val="28"/>
          <w:szCs w:val="28"/>
        </w:rPr>
        <w:t>第五部分    附件</w:t>
      </w:r>
    </w:p>
    <w:p>
      <w:pPr>
        <w:spacing w:after="0" w:line="500" w:lineRule="exact"/>
        <w:rPr>
          <w:b/>
          <w:color w:val="000000"/>
          <w:sz w:val="28"/>
          <w:szCs w:val="28"/>
        </w:rPr>
      </w:pPr>
    </w:p>
    <w:p>
      <w:pPr>
        <w:spacing w:after="0" w:line="500" w:lineRule="exact"/>
        <w:rPr>
          <w:b/>
          <w:color w:val="000000"/>
          <w:sz w:val="28"/>
          <w:szCs w:val="28"/>
        </w:rPr>
      </w:pPr>
    </w:p>
    <w:p>
      <w:pPr>
        <w:spacing w:after="0" w:line="500" w:lineRule="exact"/>
        <w:rPr>
          <w:b/>
          <w:color w:val="000000"/>
          <w:sz w:val="28"/>
          <w:szCs w:val="28"/>
        </w:rPr>
      </w:pPr>
    </w:p>
    <w:p>
      <w:pPr>
        <w:spacing w:after="0" w:line="500" w:lineRule="exact"/>
        <w:rPr>
          <w:b/>
          <w:color w:val="000000"/>
          <w:sz w:val="28"/>
          <w:szCs w:val="28"/>
        </w:rPr>
      </w:pPr>
    </w:p>
    <w:p>
      <w:pPr>
        <w:spacing w:after="0" w:line="500" w:lineRule="exact"/>
        <w:rPr>
          <w:b/>
          <w:color w:val="000000"/>
          <w:sz w:val="28"/>
          <w:szCs w:val="28"/>
        </w:rPr>
      </w:pPr>
    </w:p>
    <w:p>
      <w:pPr>
        <w:spacing w:after="0" w:line="500" w:lineRule="exact"/>
        <w:rPr>
          <w:b/>
          <w:color w:val="000000"/>
          <w:sz w:val="28"/>
          <w:szCs w:val="28"/>
        </w:rPr>
      </w:pPr>
    </w:p>
    <w:p>
      <w:pPr>
        <w:spacing w:after="0" w:line="500" w:lineRule="exact"/>
        <w:rPr>
          <w:b/>
          <w:color w:val="000000"/>
          <w:sz w:val="28"/>
          <w:szCs w:val="28"/>
        </w:rPr>
      </w:pPr>
    </w:p>
    <w:p>
      <w:pPr>
        <w:spacing w:after="0" w:line="500" w:lineRule="exact"/>
        <w:rPr>
          <w:b/>
          <w:sz w:val="28"/>
          <w:szCs w:val="28"/>
        </w:rPr>
      </w:pPr>
    </w:p>
    <w:p>
      <w:pPr>
        <w:spacing w:after="0" w:line="500" w:lineRule="exact"/>
        <w:rPr>
          <w:b/>
          <w:sz w:val="28"/>
          <w:szCs w:val="28"/>
        </w:rPr>
      </w:pPr>
    </w:p>
    <w:p>
      <w:pPr>
        <w:spacing w:after="0" w:line="500" w:lineRule="exact"/>
        <w:rPr>
          <w:b/>
          <w:sz w:val="28"/>
          <w:szCs w:val="28"/>
        </w:rPr>
      </w:pPr>
    </w:p>
    <w:p>
      <w:pPr>
        <w:spacing w:after="0" w:line="500" w:lineRule="exact"/>
        <w:rPr>
          <w:b/>
          <w:sz w:val="28"/>
          <w:szCs w:val="28"/>
        </w:rPr>
      </w:pPr>
    </w:p>
    <w:p>
      <w:pPr>
        <w:spacing w:after="0" w:line="500" w:lineRule="exact"/>
        <w:rPr>
          <w:b/>
          <w:sz w:val="28"/>
          <w:szCs w:val="28"/>
        </w:rPr>
      </w:pPr>
    </w:p>
    <w:p>
      <w:pPr>
        <w:pStyle w:val="13"/>
        <w:ind w:firstLine="550"/>
        <w:rPr>
          <w:b/>
          <w:sz w:val="28"/>
          <w:szCs w:val="28"/>
        </w:rPr>
      </w:pPr>
    </w:p>
    <w:p>
      <w:pPr>
        <w:pStyle w:val="12"/>
        <w:rPr>
          <w:b/>
          <w:sz w:val="28"/>
          <w:szCs w:val="28"/>
        </w:rPr>
      </w:pPr>
    </w:p>
    <w:p>
      <w:pPr>
        <w:pStyle w:val="4"/>
        <w:ind w:firstLine="562"/>
        <w:rPr>
          <w:b/>
          <w:sz w:val="28"/>
          <w:szCs w:val="28"/>
        </w:rPr>
      </w:pPr>
    </w:p>
    <w:p>
      <w:pPr>
        <w:pStyle w:val="4"/>
        <w:ind w:firstLine="562"/>
        <w:rPr>
          <w:b/>
          <w:sz w:val="28"/>
          <w:szCs w:val="28"/>
        </w:rPr>
      </w:pPr>
    </w:p>
    <w:p>
      <w:pPr>
        <w:pStyle w:val="4"/>
        <w:ind w:firstLine="562"/>
        <w:rPr>
          <w:b/>
          <w:sz w:val="28"/>
          <w:szCs w:val="28"/>
        </w:rPr>
      </w:pPr>
    </w:p>
    <w:p>
      <w:pPr>
        <w:pStyle w:val="4"/>
        <w:ind w:firstLine="562"/>
        <w:rPr>
          <w:b/>
          <w:sz w:val="28"/>
          <w:szCs w:val="28"/>
        </w:rPr>
      </w:pPr>
    </w:p>
    <w:p>
      <w:pPr>
        <w:pStyle w:val="4"/>
        <w:ind w:firstLine="562"/>
        <w:rPr>
          <w:b/>
          <w:sz w:val="28"/>
          <w:szCs w:val="28"/>
        </w:rPr>
      </w:pPr>
    </w:p>
    <w:p>
      <w:pPr>
        <w:pStyle w:val="4"/>
        <w:ind w:firstLine="562"/>
        <w:rPr>
          <w:rFonts w:hint="eastAsia"/>
          <w:b/>
          <w:sz w:val="28"/>
          <w:szCs w:val="28"/>
        </w:rPr>
      </w:pPr>
    </w:p>
    <w:p>
      <w:pPr>
        <w:pStyle w:val="4"/>
        <w:ind w:firstLine="562"/>
        <w:rPr>
          <w:b/>
          <w:sz w:val="28"/>
          <w:szCs w:val="28"/>
        </w:rPr>
      </w:pPr>
    </w:p>
    <w:p>
      <w:pPr>
        <w:pStyle w:val="4"/>
        <w:ind w:firstLine="562"/>
        <w:rPr>
          <w:b/>
          <w:sz w:val="28"/>
          <w:szCs w:val="28"/>
        </w:rPr>
      </w:pPr>
    </w:p>
    <w:p>
      <w:pPr>
        <w:pStyle w:val="4"/>
        <w:ind w:firstLine="562"/>
        <w:rPr>
          <w:b/>
          <w:sz w:val="28"/>
          <w:szCs w:val="28"/>
        </w:rPr>
      </w:pPr>
    </w:p>
    <w:p>
      <w:pPr>
        <w:spacing w:after="0" w:line="500" w:lineRule="exact"/>
        <w:rPr>
          <w:b/>
          <w:sz w:val="28"/>
          <w:szCs w:val="28"/>
        </w:rPr>
      </w:pPr>
      <w:r>
        <w:rPr>
          <w:rFonts w:hint="eastAsia"/>
          <w:b/>
          <w:sz w:val="28"/>
          <w:szCs w:val="28"/>
        </w:rPr>
        <w:t>第一部分概况</w:t>
      </w:r>
    </w:p>
    <w:p>
      <w:pPr>
        <w:numPr>
          <w:ilvl w:val="0"/>
          <w:numId w:val="1"/>
        </w:numPr>
        <w:spacing w:after="0" w:line="500" w:lineRule="exact"/>
        <w:rPr>
          <w:sz w:val="28"/>
          <w:szCs w:val="28"/>
        </w:rPr>
      </w:pPr>
      <w:r>
        <w:rPr>
          <w:rFonts w:hint="eastAsia"/>
          <w:sz w:val="28"/>
          <w:szCs w:val="28"/>
        </w:rPr>
        <w:t>本部门职责</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促进经济发展，加强社会管理，搞好公共服务，维护农村稳定，具体为：</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1、加强党的基层组织建设，巩固党在农村的执政地位；宣传党的路线、方针、政策，保证党和国家的政策在农村的贯彻落实。加强农村基层民主政治和自治组织建设，领导农村村民委员会的换届和村务公开工作，指导农村村民自治。</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2、加强农村事务管理和社会治安</w:t>
      </w:r>
      <w:r>
        <w:rPr>
          <w:rFonts w:hint="eastAsia" w:ascii="微软雅黑" w:hAnsi="微软雅黑" w:cs="微软雅黑"/>
          <w:color w:val="000000"/>
          <w:sz w:val="28"/>
          <w:szCs w:val="28"/>
          <w:lang w:eastAsia="zh-CN"/>
        </w:rPr>
        <w:t>综合治理</w:t>
      </w:r>
      <w:r>
        <w:rPr>
          <w:rFonts w:hint="eastAsia" w:ascii="微软雅黑" w:hAnsi="微软雅黑" w:cs="微软雅黑"/>
          <w:color w:val="000000"/>
          <w:sz w:val="28"/>
          <w:szCs w:val="28"/>
        </w:rPr>
        <w:t>，保障农民群众的民主政治权利，及时化解农村社会矛盾，切实维护农民的合法权益、维护农村社会稳定。</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3、管理本行政区域内的教育、卫生、防疫、科技、文化、体育、扶贫、计划生育、养老、优抚、救灾、救济等社会公益事业。编制和组织执行本级预算、决算。</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4、依法履行国防动员、国防教育、民兵组织建设、预备役管理等职能。</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5、以人为本，营造发展环境，促进经济发展，对农民和各类经济主体进行示范引导，为农民提供科学技术、劳动就业、市场信息等服务。</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6、强化服务职能，推进社会化服务体系建设，加强乡村基层设施建设，组织协调农田水利基本建设、道路交通建设、小城镇建设等农村公共事务。</w:t>
      </w:r>
    </w:p>
    <w:p>
      <w:pPr>
        <w:widowControl w:val="0"/>
        <w:adjustRightInd/>
        <w:snapToGrid/>
        <w:spacing w:after="0" w:line="500" w:lineRule="exact"/>
        <w:ind w:firstLine="560" w:firstLineChars="200"/>
        <w:rPr>
          <w:sz w:val="28"/>
          <w:szCs w:val="28"/>
        </w:rPr>
      </w:pPr>
      <w:r>
        <w:rPr>
          <w:rFonts w:hint="eastAsia" w:ascii="微软雅黑" w:hAnsi="微软雅黑" w:cs="微软雅黑"/>
          <w:color w:val="000000"/>
          <w:sz w:val="28"/>
          <w:szCs w:val="28"/>
        </w:rPr>
        <w:t>7、配合上级有关部门做好安全生产、土地管理、环境保护、市场监管等工作</w:t>
      </w:r>
    </w:p>
    <w:p>
      <w:pPr>
        <w:spacing w:after="0" w:line="500" w:lineRule="exact"/>
        <w:rPr>
          <w:sz w:val="28"/>
          <w:szCs w:val="28"/>
        </w:rPr>
      </w:pPr>
      <w:r>
        <w:rPr>
          <w:rFonts w:hint="eastAsia"/>
          <w:sz w:val="28"/>
          <w:szCs w:val="28"/>
        </w:rPr>
        <w:t>二、机构设置情况</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1.根据部门职责分工，本部门内设机构包括，行政机构1个，为平顺县北社乡人民政府；2021年事业机构改革后变更为3个，分别为平顺县北社乡综合便民服务中心、平顺县北社乡党群服务中心和平顺县北社乡退役军人服务站。当年编制57人，其中行政22人，全额事业35人，年末实有人数43人，其中在职行政人员22人，全额事业人员21人。</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本部门无下属单位。</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2. 从决算单位构成看，纳入北社乡人民政府202</w:t>
      </w:r>
      <w:r>
        <w:rPr>
          <w:rFonts w:ascii="微软雅黑" w:hAnsi="微软雅黑" w:cs="微软雅黑"/>
          <w:color w:val="000000"/>
          <w:sz w:val="28"/>
          <w:szCs w:val="28"/>
        </w:rPr>
        <w:t>1</w:t>
      </w:r>
      <w:r>
        <w:rPr>
          <w:rFonts w:hint="eastAsia" w:ascii="微软雅黑" w:hAnsi="微软雅黑" w:cs="微软雅黑"/>
          <w:color w:val="000000"/>
          <w:sz w:val="28"/>
          <w:szCs w:val="28"/>
        </w:rPr>
        <w:t>年部门汇总决算编制范围的预算单位共计1家，具体包括：北社乡人民政府本级。</w:t>
      </w:r>
    </w:p>
    <w:p>
      <w:pPr>
        <w:widowControl w:val="0"/>
        <w:adjustRightInd/>
        <w:snapToGrid/>
        <w:spacing w:after="0" w:line="500" w:lineRule="exact"/>
        <w:jc w:val="both"/>
        <w:rPr>
          <w:rFonts w:ascii="微软雅黑" w:hAnsi="微软雅黑" w:cs="微软雅黑"/>
          <w:color w:val="000000"/>
          <w:sz w:val="28"/>
          <w:szCs w:val="28"/>
        </w:rPr>
      </w:pPr>
      <w:r>
        <w:rPr>
          <w:rFonts w:hint="eastAsia" w:ascii="微软雅黑" w:hAnsi="微软雅黑" w:cs="微软雅黑"/>
          <w:color w:val="000000"/>
          <w:sz w:val="28"/>
          <w:szCs w:val="28"/>
        </w:rPr>
        <w:t>三、年度工作计划及执行情况</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（一）党建工作情况</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一是压实责任，激发潜力“打头阵”。一是三月份以来，乡党委召开专题会议研究部署党建工作，全面落实党委书记及班子成员基层党建、党风廉政建设责任制，建立支部联系点11个，讲党课20余次，深入调研40余次，解决实际问题13件。二是与各支部签订党建工作目标责任书、制定党建责任清单、加大考核比重，强化基层党组织书记主业意识。</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二是优化队伍建设，引才引智“提实力”。一是参加学历提升24人，实现全覆盖；回引本乡本土高中及以上学历毕业生、退役军人等24名五类人员回乡发展，储备农村后备干部69名。二是转正党员12名，预备党员9名，发展对象3名，入党积极分子21名。</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三是加强规范建设，抓点带面“树标杆”。一是突出亮点集中建设高标准示范点，北社村党支部进一步加强党小组建设，达到了“小堡垒”巩固大支部的目的；东青北村党支部采取固定资产入股、集体流转土地、优化投资环境、建设光伏电站等形式壮大集体经济。二是对照评价指标逐村列出工作清单查漏补缺，采用班子成员包片、一般干部包村的方式，分三批逐步推进全部达标。三是完成有帮扶能力的党员与建档立卡贫困户进行“一对一”帮扶230余对，20余名党员领办创办了致富项目。四是将红旗党支部与软弱涣散党支部结成对子，更好的完成转化提升。</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四是壮大集体经济，夯实基础“强保障”。一是不断壮大集体光伏、蔬菜大棚等支柱产业发展，使村集体经济发展的路子越走越宽；二是针对集体经济比较薄弱的村进行逐一分析确定扶持项目，如西社村的农产品加工厂已经完工并开始运营，预计年收入可达5万元，河东村的生态果园建设，预计年收入可达3.6万元，南社村的全域旅游服务中心主体已全部完工，预计年收入可达8万余元。</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五是村党组织换届情况。1、支部换届完成情况：18个村全部完成支部换届工作。新一届村支部委员会班子成员共计75名，平均年龄45岁，其中35岁以下的班子成员15名，大专以上学历27名，45岁以下的支部班子成员33名占比44%，较上一届支部班子成员年龄减少7.56%。2、主要做法：科学有效谋划，深入细致摸排，加大力度宣传，加强政策学习，严格审核把关，主动回引人才，从年龄学历用人上，注重优化班子结构，严明换届纪律，注重程序合法。在县指导组的精心指导下，我们严格按照程序实施，按时间按要求圆满完成这次村支部换届选举任务。</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（二）巩固脱贫攻坚成果有效衔接乡村振兴工作情况</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 xml:space="preserve"> 一是持续做实防止返贫动态监测和帮扶。严格落实“四个不摘”要求，健全农村低收入人口常态化帮扶机制。建立防止返贫监测排查体系，“三级预警、七策同享”，对全乡农户进行月收入监测，现确定脱贫不稳定户、边缘易致贫户、新识别突发严重困难户共96户，进行月动态调整，确定帮扶责任人，持续抓好责任落实、政策落实和工作落实，每户增设一公益岗，每月500元，坚决守住不发生规模性返贫现象的底线，持续落实各项帮扶政策，改善群众生活。</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二是持续大力发展北社旱地蔬菜产业。农村产业发展是实现乡村振兴的基础，产业兴旺是乡村振兴的重点。大力发展北社旱地蔬菜，积极发展连体大棚，促进产业扶贫向产业兴旺转换升级，力争在2023年以前新增50个150亩大棚，推进脱贫攻坚与乡村振兴有机衔接，培育农业农村新业态。</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三是持续加强务工输出和就业培训。</w:t>
      </w:r>
      <w:r>
        <w:rPr>
          <w:rFonts w:ascii="微软雅黑" w:hAnsi="微软雅黑" w:cs="微软雅黑"/>
          <w:color w:val="000000"/>
          <w:sz w:val="28"/>
          <w:szCs w:val="28"/>
        </w:rPr>
        <w:t>加</w:t>
      </w:r>
      <w:r>
        <w:rPr>
          <w:rFonts w:hint="eastAsia" w:ascii="微软雅黑" w:hAnsi="微软雅黑" w:cs="微软雅黑"/>
          <w:color w:val="000000"/>
          <w:sz w:val="28"/>
          <w:szCs w:val="28"/>
        </w:rPr>
        <w:t>强同</w:t>
      </w:r>
      <w:r>
        <w:rPr>
          <w:rFonts w:ascii="微软雅黑" w:hAnsi="微软雅黑" w:cs="微软雅黑"/>
          <w:color w:val="000000"/>
          <w:sz w:val="28"/>
          <w:szCs w:val="28"/>
        </w:rPr>
        <w:t>人力资源</w:t>
      </w:r>
      <w:r>
        <w:rPr>
          <w:rFonts w:hint="eastAsia" w:ascii="微软雅黑" w:hAnsi="微软雅黑" w:cs="微软雅黑"/>
          <w:color w:val="000000"/>
          <w:sz w:val="28"/>
          <w:szCs w:val="28"/>
        </w:rPr>
        <w:t>部门联系，积极对接人社、农业、团委等部门，</w:t>
      </w:r>
      <w:r>
        <w:rPr>
          <w:rFonts w:ascii="微软雅黑" w:hAnsi="微软雅黑" w:cs="微软雅黑"/>
          <w:color w:val="000000"/>
          <w:sz w:val="28"/>
          <w:szCs w:val="28"/>
        </w:rPr>
        <w:t>开展</w:t>
      </w:r>
      <w:r>
        <w:rPr>
          <w:rFonts w:hint="eastAsia" w:ascii="微软雅黑" w:hAnsi="微软雅黑" w:cs="微软雅黑"/>
          <w:color w:val="000000"/>
          <w:sz w:val="28"/>
          <w:szCs w:val="28"/>
        </w:rPr>
        <w:t>人人持证、</w:t>
      </w:r>
      <w:r>
        <w:rPr>
          <w:rFonts w:ascii="微软雅黑" w:hAnsi="微软雅黑" w:cs="微软雅黑"/>
          <w:color w:val="000000"/>
          <w:sz w:val="28"/>
          <w:szCs w:val="28"/>
        </w:rPr>
        <w:t>特色培训和对口培训，把用工需求与培训衔接起来，通过技能培训、考核发证、推荐上岗等方式，实行先培训后输出。</w:t>
      </w:r>
      <w:r>
        <w:rPr>
          <w:rFonts w:hint="eastAsia" w:ascii="微软雅黑" w:hAnsi="微软雅黑" w:cs="微软雅黑"/>
          <w:color w:val="000000"/>
          <w:sz w:val="28"/>
          <w:szCs w:val="28"/>
        </w:rPr>
        <w:t>今年外出务工贫困户达2722人，务工人数较上年有明显提升。</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四是持续加大招商引资力度。全力服务东壹山亚布洛尼国际滑雪场、纳通科贸冷链库2个全县重点工程项目有序推进；全力协调工业园区项目、207国道环境整治、北社伟翔搅拌站建设；全力营造条件支持小铎村休闲旅游颐养小镇项目落地；全力支持各村开展旅游环境卫生整治、实施各类小型公益事业。</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五是持续开展人居环境“六乱”治理。重点对交通沿线和村庄等有碍交通的乱搭乱建、乱堆乱放、乱写乱画等进行整治，对农户庭院门外的乱堆乱放、村内污水横流等现象进行治理。对田间地头进行整治，打造山清水秀、天蓝地绿、村美人和、生态宜居的美丽乡村。</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六是持续管好护好光伏电站。持续管护19座村级光伏扶贫电站，加强日常运维管理，截止10月底，全乡光伏总收入450多万元；加大了公益性支出占比，拓宽了光伏公益岗位设置，保障脱贫不稳定户、边缘易致贫户、突发严重困难户，以及半劳动力、弱劳力等家庭就地就近就业，确保不发生规模性返贫。</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 xml:space="preserve">     七是持续用好用足小额信贷。2021年下达我乡脱贫人口小额信贷任务625万，我乡提前谋划、及时对接，对各村进行了任务分解，召开专题会议推进落实，助力脱贫人口融入产业发展，培育县域支柱产业和优势特色产业。截至目前共计放贷425万元，完成比例68%。 </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八是持续积极申报教育资助。雨露计划、本科大学生资助如期开展。我乡2020-2021 学年雨露计划资助金第一批核定通过人数158人，确保所有学生上起学，上好学。</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九是持续规范使用项目资金。2021年共下达乡村振兴衔接资金121万元,涉及6个项目，目前，已经全部拨付到项目村。</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十是持续推进项目资产后续管理。对 2013年—2020年底期间的242个扶贫项目资产开展全面摸底，明确职责，厘清权属，规范管护，确保收益、合法处置，登记，做好扶贫项目资产后续管理。</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十一是持续推进问题整改清零销号。对照2020年国家脱贫攻坚成效考核反馈问题和市际交叉检查等存在的突出问题，进行全面排查，第一时间召开专题会议进行研究部署，出台了《关于落实2020年国家脱贫攻坚成效考核反馈问题的整改方案》，列出了问题清单，明确了整改牵头领导、责任单位、责任人和整改时限，共排查出9个方面14个问题，目前14个问题已整改。</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（三）灾后重建</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汛期以来，我乡房屋受损覆盖面广、灾情严重，经过城建局和第三方认定，18个村被鉴定为C级、D级房屋和二级、三级窑洞的受损户共计171户（含脱贫户89户、监测户5户、低保户5户、边缘户1户、一般农户71户），其中83户需要局部修缮（主体没有出现危险），88户需要重新修建。受损户中3户有意愿置换房屋，其中，东河王有红计划在县城购买商品房，北社牛珍兰计划在北社小区购买房屋，大铎靳存水计划在本村购买他人空闲房屋。</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针对83户局部修缮户，由五支队伍到村动员、督促户下及时动工修缮，避免更大问题的出现，针对88户重新修建户，主要采取原址修建和重新选址修建两种方式进行房屋重建。一是原址修建。对于连体窑受损的户，本户有两孔以上窑洞的，为避免连累别家窑洞，采用修圈一孔，填实旁边的方式，本户只有1孔窑洞的，由村委负责收购，统一维修；对于石窑变形的户，采用钢框架方式修复；对于土窑快透顶的户，采取內圈方式，减少重新覆土的工程量；对于边坡塌方，地灾点难以申报的户，采取夯土方式加固。二是选址重建。需要重新选址的户，由村委统一收回原宅基地，经过平整后再批出去；连片窑洞或伙院不适合修缮或新建的户（如集林4户），由村集体上手，集中连片新建。</w:t>
      </w:r>
    </w:p>
    <w:p>
      <w:pPr>
        <w:widowControl w:val="0"/>
        <w:adjustRightInd/>
        <w:snapToGrid/>
        <w:spacing w:after="0" w:line="500" w:lineRule="exact"/>
        <w:ind w:firstLine="560" w:firstLineChars="200"/>
        <w:jc w:val="both"/>
        <w:rPr>
          <w:rFonts w:ascii="微软雅黑" w:hAnsi="微软雅黑" w:cs="微软雅黑"/>
          <w:color w:val="000000"/>
          <w:sz w:val="28"/>
          <w:szCs w:val="28"/>
        </w:rPr>
      </w:pPr>
      <w:r>
        <w:rPr>
          <w:rFonts w:hint="eastAsia" w:ascii="微软雅黑" w:hAnsi="微软雅黑" w:cs="微软雅黑"/>
          <w:color w:val="000000"/>
          <w:sz w:val="28"/>
          <w:szCs w:val="28"/>
        </w:rPr>
        <w:t>为加强修缮、重建房屋抵御自然灾害的能力，我乡采取上瓦或增加防水设施等措施，对修缮重建房屋进行加固。</w:t>
      </w:r>
    </w:p>
    <w:p>
      <w:pPr>
        <w:spacing w:after="0" w:line="500" w:lineRule="exact"/>
        <w:rPr>
          <w:b/>
          <w:sz w:val="28"/>
          <w:szCs w:val="28"/>
        </w:rPr>
      </w:pPr>
      <w:r>
        <w:rPr>
          <w:rFonts w:hint="eastAsia"/>
          <w:b/>
          <w:sz w:val="28"/>
          <w:szCs w:val="28"/>
        </w:rPr>
        <w:t>第二部分 2021年度部门决算报表（见附表1）</w:t>
      </w:r>
    </w:p>
    <w:p>
      <w:pPr>
        <w:spacing w:after="0" w:line="500" w:lineRule="exact"/>
        <w:rPr>
          <w:sz w:val="28"/>
          <w:szCs w:val="28"/>
        </w:rPr>
      </w:pPr>
      <w:r>
        <w:rPr>
          <w:rFonts w:hint="eastAsia"/>
          <w:sz w:val="28"/>
          <w:szCs w:val="28"/>
        </w:rPr>
        <w:t>一、收入支出决算总表</w:t>
      </w:r>
    </w:p>
    <w:p>
      <w:pPr>
        <w:spacing w:after="0" w:line="500" w:lineRule="exact"/>
        <w:rPr>
          <w:sz w:val="28"/>
          <w:szCs w:val="28"/>
        </w:rPr>
      </w:pPr>
      <w:r>
        <w:rPr>
          <w:rFonts w:hint="eastAsia"/>
          <w:sz w:val="28"/>
          <w:szCs w:val="28"/>
        </w:rPr>
        <w:t>二、收入决算表</w:t>
      </w:r>
    </w:p>
    <w:p>
      <w:pPr>
        <w:spacing w:after="0" w:line="500" w:lineRule="exact"/>
        <w:rPr>
          <w:sz w:val="28"/>
          <w:szCs w:val="28"/>
        </w:rPr>
      </w:pPr>
      <w:r>
        <w:rPr>
          <w:rFonts w:hint="eastAsia"/>
          <w:sz w:val="28"/>
          <w:szCs w:val="28"/>
        </w:rPr>
        <w:t>三、支出决算表</w:t>
      </w:r>
    </w:p>
    <w:p>
      <w:pPr>
        <w:spacing w:after="0" w:line="500" w:lineRule="exact"/>
        <w:rPr>
          <w:sz w:val="28"/>
          <w:szCs w:val="28"/>
        </w:rPr>
      </w:pPr>
      <w:r>
        <w:rPr>
          <w:rFonts w:hint="eastAsia"/>
          <w:sz w:val="28"/>
          <w:szCs w:val="28"/>
        </w:rPr>
        <w:t>四、财政拨款收入支出决算总表</w:t>
      </w:r>
    </w:p>
    <w:p>
      <w:pPr>
        <w:spacing w:after="0" w:line="500" w:lineRule="exact"/>
        <w:rPr>
          <w:sz w:val="28"/>
          <w:szCs w:val="28"/>
        </w:rPr>
      </w:pPr>
      <w:r>
        <w:rPr>
          <w:rFonts w:hint="eastAsia"/>
          <w:sz w:val="28"/>
          <w:szCs w:val="28"/>
        </w:rPr>
        <w:t>五、一般公共预算财政拨款支出决算表（一）</w:t>
      </w:r>
    </w:p>
    <w:p>
      <w:pPr>
        <w:spacing w:after="0" w:line="500" w:lineRule="exact"/>
        <w:rPr>
          <w:sz w:val="28"/>
          <w:szCs w:val="28"/>
        </w:rPr>
      </w:pPr>
      <w:r>
        <w:rPr>
          <w:rFonts w:hint="eastAsia"/>
          <w:sz w:val="28"/>
          <w:szCs w:val="28"/>
        </w:rPr>
        <w:t>六、一般公共预算财政拨款支出决算表（二）</w:t>
      </w:r>
    </w:p>
    <w:p>
      <w:pPr>
        <w:spacing w:after="0" w:line="500" w:lineRule="exact"/>
        <w:rPr>
          <w:sz w:val="28"/>
          <w:szCs w:val="28"/>
        </w:rPr>
      </w:pPr>
      <w:r>
        <w:rPr>
          <w:rFonts w:hint="eastAsia"/>
          <w:sz w:val="28"/>
          <w:szCs w:val="28"/>
        </w:rPr>
        <w:t>七、一般公共预算财政拨款“三公”经费支出决算表</w:t>
      </w:r>
    </w:p>
    <w:p>
      <w:pPr>
        <w:spacing w:after="0" w:line="500" w:lineRule="exact"/>
        <w:rPr>
          <w:sz w:val="28"/>
          <w:szCs w:val="28"/>
        </w:rPr>
      </w:pPr>
      <w:r>
        <w:rPr>
          <w:rFonts w:hint="eastAsia"/>
          <w:sz w:val="28"/>
          <w:szCs w:val="28"/>
        </w:rPr>
        <w:t>八、政府性基金预算财政拨款收入支出决算表（注：我单位没有使用政府性基金预算财政拨款安排的支出，故本表无数据）</w:t>
      </w:r>
    </w:p>
    <w:p>
      <w:pPr>
        <w:spacing w:after="0" w:line="500" w:lineRule="exact"/>
        <w:rPr>
          <w:sz w:val="28"/>
          <w:szCs w:val="28"/>
        </w:rPr>
      </w:pPr>
      <w:r>
        <w:rPr>
          <w:rFonts w:hint="eastAsia"/>
          <w:sz w:val="28"/>
          <w:szCs w:val="28"/>
        </w:rPr>
        <w:t>九、国有资本经营预算财政   拨款支出决算表（注：我单位没有使用国有资本经营预算安排的支出，故本表无数据）</w:t>
      </w:r>
    </w:p>
    <w:p>
      <w:pPr>
        <w:spacing w:after="0" w:line="500" w:lineRule="exact"/>
        <w:rPr>
          <w:sz w:val="28"/>
          <w:szCs w:val="28"/>
        </w:rPr>
      </w:pPr>
      <w:r>
        <w:rPr>
          <w:rFonts w:hint="eastAsia"/>
          <w:sz w:val="28"/>
          <w:szCs w:val="28"/>
        </w:rPr>
        <w:t>十、部门决算公开相关信息统计表</w:t>
      </w:r>
    </w:p>
    <w:p>
      <w:pPr>
        <w:spacing w:after="0" w:line="500" w:lineRule="exact"/>
        <w:rPr>
          <w:sz w:val="28"/>
          <w:szCs w:val="28"/>
        </w:rPr>
      </w:pPr>
      <w:r>
        <w:rPr>
          <w:rFonts w:hint="eastAsia"/>
          <w:b/>
          <w:sz w:val="28"/>
          <w:szCs w:val="28"/>
        </w:rPr>
        <w:t>第三部分 2021年度部门决算情况说明</w:t>
      </w:r>
    </w:p>
    <w:p>
      <w:pPr>
        <w:spacing w:after="0" w:line="500" w:lineRule="exact"/>
        <w:ind w:firstLine="562" w:firstLineChars="200"/>
        <w:rPr>
          <w:b/>
          <w:sz w:val="28"/>
          <w:szCs w:val="28"/>
        </w:rPr>
      </w:pPr>
      <w:r>
        <w:rPr>
          <w:rFonts w:hint="eastAsia"/>
          <w:b/>
          <w:sz w:val="28"/>
          <w:szCs w:val="28"/>
        </w:rPr>
        <w:t>一、收入支出决算总体情况说明</w:t>
      </w:r>
    </w:p>
    <w:p>
      <w:pPr>
        <w:spacing w:after="0" w:line="500" w:lineRule="exact"/>
        <w:ind w:firstLine="560" w:firstLineChars="200"/>
      </w:pPr>
      <w:r>
        <w:rPr>
          <w:rFonts w:hint="eastAsia"/>
          <w:sz w:val="28"/>
          <w:szCs w:val="28"/>
        </w:rPr>
        <w:t>2021年度收入总计</w:t>
      </w:r>
      <w:r>
        <w:rPr>
          <w:rFonts w:hint="eastAsia" w:ascii="仿宋_GB2312" w:eastAsia="仿宋_GB2312"/>
          <w:color w:val="000000"/>
          <w:sz w:val="32"/>
          <w:szCs w:val="32"/>
        </w:rPr>
        <w:t>1151.4</w:t>
      </w:r>
      <w:r>
        <w:rPr>
          <w:rFonts w:hint="eastAsia"/>
          <w:sz w:val="28"/>
          <w:szCs w:val="28"/>
        </w:rPr>
        <w:t>万元、支出总计</w:t>
      </w:r>
      <w:r>
        <w:rPr>
          <w:rFonts w:hint="eastAsia" w:ascii="仿宋_GB2312" w:eastAsia="仿宋_GB2312"/>
          <w:color w:val="000000"/>
          <w:sz w:val="32"/>
          <w:szCs w:val="32"/>
        </w:rPr>
        <w:t>1230.09</w:t>
      </w:r>
      <w:r>
        <w:rPr>
          <w:rFonts w:hint="eastAsia"/>
          <w:sz w:val="28"/>
          <w:szCs w:val="28"/>
        </w:rPr>
        <w:t>万元。与上年相比，收入总计减少252.6万元，减少17.99%，支出总计减少286.11万元，减少18.87%。主要原因是2020年207国道建设资金达393万余元，2021年207国道建设资金为60万元 。</w:t>
      </w:r>
    </w:p>
    <w:tbl>
      <w:tblPr>
        <w:tblStyle w:val="14"/>
        <w:tblW w:w="8085" w:type="dxa"/>
        <w:tblInd w:w="93" w:type="dxa"/>
        <w:tblLayout w:type="autofit"/>
        <w:tblCellMar>
          <w:top w:w="0" w:type="dxa"/>
          <w:left w:w="108" w:type="dxa"/>
          <w:bottom w:w="0" w:type="dxa"/>
          <w:right w:w="108" w:type="dxa"/>
        </w:tblCellMar>
      </w:tblPr>
      <w:tblGrid>
        <w:gridCol w:w="1425"/>
        <w:gridCol w:w="1500"/>
        <w:gridCol w:w="1740"/>
        <w:gridCol w:w="1875"/>
        <w:gridCol w:w="1545"/>
      </w:tblGrid>
      <w:tr>
        <w:tblPrEx>
          <w:tblCellMar>
            <w:top w:w="0" w:type="dxa"/>
            <w:left w:w="108" w:type="dxa"/>
            <w:bottom w:w="0" w:type="dxa"/>
            <w:right w:w="108" w:type="dxa"/>
          </w:tblCellMar>
        </w:tblPrEx>
        <w:trPr>
          <w:trHeight w:val="70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2021年</w:t>
            </w:r>
          </w:p>
          <w:p>
            <w:pPr>
              <w:spacing w:after="0" w:line="500" w:lineRule="exact"/>
              <w:jc w:val="center"/>
              <w:textAlignment w:val="center"/>
              <w:rPr>
                <w:rFonts w:ascii="宋体" w:hAnsi="宋体" w:eastAsia="宋体" w:cs="宋体"/>
              </w:rPr>
            </w:pPr>
            <w:r>
              <w:rPr>
                <w:rFonts w:hint="eastAsia" w:ascii="宋体" w:hAnsi="宋体" w:eastAsia="宋体" w:cs="宋体"/>
              </w:rPr>
              <w:t>（万元）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2020年</w:t>
            </w:r>
          </w:p>
          <w:p>
            <w:pPr>
              <w:spacing w:after="0" w:line="500" w:lineRule="exact"/>
              <w:jc w:val="center"/>
              <w:textAlignment w:val="center"/>
              <w:rPr>
                <w:rFonts w:ascii="宋体" w:hAnsi="宋体" w:eastAsia="宋体" w:cs="宋体"/>
              </w:rPr>
            </w:pPr>
            <w:r>
              <w:rPr>
                <w:rFonts w:hint="eastAsia" w:ascii="宋体" w:hAnsi="宋体" w:eastAsia="宋体" w:cs="宋体"/>
              </w:rPr>
              <w:t>（万元）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较上年减少数（万元）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减幅</w:t>
            </w: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1151.4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1404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252.6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17.99%</w:t>
            </w: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1230.09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1516.2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286.11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18.87%</w:t>
            </w:r>
          </w:p>
        </w:tc>
      </w:tr>
    </w:tbl>
    <w:p>
      <w:pPr>
        <w:spacing w:after="0" w:line="500" w:lineRule="exact"/>
        <w:ind w:firstLine="562" w:firstLineChars="200"/>
        <w:rPr>
          <w:b/>
          <w:sz w:val="28"/>
          <w:szCs w:val="28"/>
        </w:rPr>
      </w:pPr>
      <w:r>
        <w:rPr>
          <w:rFonts w:hint="eastAsia"/>
          <w:b/>
          <w:sz w:val="28"/>
          <w:szCs w:val="28"/>
        </w:rPr>
        <w:t>二、收入决算情况说明</w:t>
      </w:r>
    </w:p>
    <w:p>
      <w:pPr>
        <w:spacing w:after="0" w:line="500" w:lineRule="exact"/>
        <w:ind w:firstLine="560" w:firstLineChars="200"/>
        <w:rPr>
          <w:sz w:val="28"/>
          <w:szCs w:val="28"/>
        </w:rPr>
      </w:pPr>
      <w:r>
        <w:rPr>
          <w:rFonts w:hint="eastAsia"/>
          <w:sz w:val="28"/>
          <w:szCs w:val="28"/>
        </w:rPr>
        <w:t>2021年度收入合计1151.4万元，其中：财政拨款收入1151.4万元，占比100%；上级补助收入0万元，占比0%；事业收入0万元，占比0%；经营收入0万元，占比0%；附属单位上缴收入0万元，占比0%；其他收入0万元，占比0%。</w:t>
      </w:r>
    </w:p>
    <w:p>
      <w:pPr>
        <w:spacing w:after="0" w:line="500" w:lineRule="exact"/>
        <w:ind w:firstLine="562" w:firstLineChars="200"/>
        <w:rPr>
          <w:b/>
          <w:sz w:val="28"/>
          <w:szCs w:val="28"/>
        </w:rPr>
      </w:pPr>
      <w:r>
        <w:rPr>
          <w:rFonts w:hint="eastAsia"/>
          <w:b/>
          <w:sz w:val="28"/>
          <w:szCs w:val="28"/>
        </w:rPr>
        <w:t>三、支出决算情况说明</w:t>
      </w:r>
    </w:p>
    <w:p>
      <w:pPr>
        <w:spacing w:after="0" w:line="500" w:lineRule="exact"/>
        <w:ind w:firstLine="560" w:firstLineChars="200"/>
        <w:rPr>
          <w:sz w:val="28"/>
          <w:szCs w:val="28"/>
        </w:rPr>
      </w:pPr>
      <w:r>
        <w:rPr>
          <w:rFonts w:hint="eastAsia"/>
          <w:sz w:val="28"/>
          <w:szCs w:val="28"/>
        </w:rPr>
        <w:t>2021年度支出合计1230.09万元，其中：基本支出558.51万元，占比45.4%；项目支出671.58万元，占比54.6%；上缴上级支出0万元，占比0%，经营支出0万元，占比0%， 对附属单位补助支出0万元，占比0%。</w:t>
      </w:r>
    </w:p>
    <w:p>
      <w:pPr>
        <w:spacing w:after="0" w:line="500" w:lineRule="exact"/>
        <w:ind w:firstLine="562" w:firstLineChars="200"/>
        <w:rPr>
          <w:b/>
          <w:sz w:val="28"/>
          <w:szCs w:val="28"/>
        </w:rPr>
      </w:pPr>
      <w:r>
        <w:rPr>
          <w:rFonts w:hint="eastAsia"/>
          <w:b/>
          <w:sz w:val="28"/>
          <w:szCs w:val="28"/>
        </w:rPr>
        <w:t>四、财政拨款收入支出决算总体情况说明</w:t>
      </w:r>
    </w:p>
    <w:p>
      <w:pPr>
        <w:spacing w:after="0" w:line="500" w:lineRule="exact"/>
        <w:ind w:firstLine="560" w:firstLineChars="200"/>
        <w:rPr>
          <w:sz w:val="28"/>
          <w:szCs w:val="28"/>
        </w:rPr>
      </w:pPr>
      <w:r>
        <w:rPr>
          <w:rFonts w:hint="eastAsia"/>
          <w:sz w:val="28"/>
          <w:szCs w:val="28"/>
        </w:rPr>
        <w:t>2021年度财政拨款收入总计1151.4万元、支出总计1230.09万元。与上年相比，财政拨款收入总计减少252.6万元，减少17.99%，财政拨款支出总计减少286.11万元，减少18.87%。主要原因是2020年207国道建设资金达393万余元，2021年207国道建设资金为60万元 。</w:t>
      </w:r>
    </w:p>
    <w:tbl>
      <w:tblPr>
        <w:tblStyle w:val="14"/>
        <w:tblW w:w="8085" w:type="dxa"/>
        <w:tblInd w:w="93" w:type="dxa"/>
        <w:tblLayout w:type="autofit"/>
        <w:tblCellMar>
          <w:top w:w="0" w:type="dxa"/>
          <w:left w:w="108" w:type="dxa"/>
          <w:bottom w:w="0" w:type="dxa"/>
          <w:right w:w="108" w:type="dxa"/>
        </w:tblCellMar>
      </w:tblPr>
      <w:tblGrid>
        <w:gridCol w:w="1976"/>
        <w:gridCol w:w="1407"/>
        <w:gridCol w:w="1584"/>
        <w:gridCol w:w="1694"/>
        <w:gridCol w:w="1424"/>
      </w:tblGrid>
      <w:tr>
        <w:tblPrEx>
          <w:tblCellMar>
            <w:top w:w="0" w:type="dxa"/>
            <w:left w:w="108" w:type="dxa"/>
            <w:bottom w:w="0" w:type="dxa"/>
            <w:right w:w="108" w:type="dxa"/>
          </w:tblCellMar>
        </w:tblPrEx>
        <w:trPr>
          <w:trHeight w:val="70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2021年</w:t>
            </w:r>
          </w:p>
          <w:p>
            <w:pPr>
              <w:spacing w:after="0" w:line="500" w:lineRule="exact"/>
              <w:jc w:val="center"/>
              <w:textAlignment w:val="center"/>
              <w:rPr>
                <w:rFonts w:ascii="宋体" w:hAnsi="宋体" w:eastAsia="宋体" w:cs="宋体"/>
              </w:rPr>
            </w:pPr>
            <w:r>
              <w:rPr>
                <w:rFonts w:hint="eastAsia" w:ascii="宋体" w:hAnsi="宋体" w:eastAsia="宋体" w:cs="宋体"/>
              </w:rPr>
              <w:t>（万元）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2020年</w:t>
            </w:r>
          </w:p>
          <w:p>
            <w:pPr>
              <w:spacing w:after="0" w:line="500" w:lineRule="exact"/>
              <w:jc w:val="center"/>
              <w:textAlignment w:val="center"/>
              <w:rPr>
                <w:rFonts w:ascii="宋体" w:hAnsi="宋体" w:eastAsia="宋体" w:cs="宋体"/>
              </w:rPr>
            </w:pPr>
            <w:r>
              <w:rPr>
                <w:rFonts w:hint="eastAsia" w:ascii="宋体" w:hAnsi="宋体" w:eastAsia="宋体" w:cs="宋体"/>
              </w:rPr>
              <w:t>（万元）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较上年减少数（万元）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减幅</w:t>
            </w: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财政拨款收入总计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1151.4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1404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252.6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17.99%</w:t>
            </w: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财政拨款支出总计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1230.09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1516.2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286.11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rPr>
            </w:pPr>
            <w:r>
              <w:rPr>
                <w:rFonts w:hint="eastAsia" w:ascii="宋体" w:hAnsi="宋体" w:eastAsia="宋体" w:cs="宋体"/>
              </w:rPr>
              <w:t>18.87%</w:t>
            </w:r>
          </w:p>
        </w:tc>
      </w:tr>
    </w:tbl>
    <w:p>
      <w:pPr>
        <w:spacing w:after="0" w:line="500" w:lineRule="exact"/>
        <w:ind w:firstLine="562" w:firstLineChars="200"/>
        <w:rPr>
          <w:b/>
          <w:sz w:val="28"/>
          <w:szCs w:val="28"/>
        </w:rPr>
      </w:pPr>
      <w:r>
        <w:rPr>
          <w:rFonts w:hint="eastAsia"/>
          <w:b/>
          <w:sz w:val="28"/>
          <w:szCs w:val="28"/>
        </w:rPr>
        <w:t>五、一般公共预算财政拨款支出决算情况说明</w:t>
      </w:r>
    </w:p>
    <w:p>
      <w:pPr>
        <w:spacing w:after="0" w:line="500" w:lineRule="exact"/>
        <w:ind w:firstLine="421" w:firstLineChars="150"/>
        <w:rPr>
          <w:b/>
          <w:sz w:val="28"/>
          <w:szCs w:val="28"/>
        </w:rPr>
      </w:pPr>
      <w:r>
        <w:rPr>
          <w:rFonts w:hint="eastAsia"/>
          <w:b/>
          <w:sz w:val="28"/>
          <w:szCs w:val="28"/>
        </w:rPr>
        <w:t>（一）财政拨款支出决算总体情况</w:t>
      </w:r>
    </w:p>
    <w:p>
      <w:pPr>
        <w:spacing w:after="0" w:line="500" w:lineRule="exact"/>
        <w:ind w:firstLine="560" w:firstLineChars="200"/>
        <w:rPr>
          <w:sz w:val="28"/>
          <w:szCs w:val="28"/>
        </w:rPr>
      </w:pPr>
      <w:r>
        <w:rPr>
          <w:rFonts w:hint="eastAsia"/>
          <w:sz w:val="28"/>
          <w:szCs w:val="28"/>
        </w:rPr>
        <w:t>2021年度财政拨款支出1230.09万元，占本年支出合计的100%。与上年相比，财政拨款支出减少286.11万元，减少18.87%。主要原因2020年207国道建设资金达393万余元，2021年207国道建设资金为60万元 。其中，人员经费480.76万元，占比39.08%， 日常公用经费77.76万元，占比6.32%。</w:t>
      </w:r>
    </w:p>
    <w:p>
      <w:pPr>
        <w:spacing w:after="0" w:line="500" w:lineRule="exact"/>
        <w:ind w:firstLine="421" w:firstLineChars="150"/>
        <w:rPr>
          <w:b/>
          <w:sz w:val="28"/>
          <w:szCs w:val="28"/>
        </w:rPr>
      </w:pPr>
      <w:r>
        <w:rPr>
          <w:rFonts w:hint="eastAsia"/>
          <w:b/>
          <w:sz w:val="28"/>
          <w:szCs w:val="28"/>
        </w:rPr>
        <w:t>（二）财政拨款支出决算结构情况</w:t>
      </w:r>
    </w:p>
    <w:p>
      <w:pPr>
        <w:spacing w:after="0" w:line="500" w:lineRule="exact"/>
        <w:ind w:firstLine="560" w:firstLineChars="200"/>
        <w:rPr>
          <w:color w:val="000000"/>
          <w:sz w:val="28"/>
          <w:szCs w:val="28"/>
        </w:rPr>
      </w:pPr>
      <w:r>
        <w:rPr>
          <w:rFonts w:hint="eastAsia"/>
          <w:sz w:val="28"/>
          <w:szCs w:val="28"/>
        </w:rPr>
        <w:t>2021年度财政拨款支出1230.09万元，主要用于以下方面：一般公共服务（类）支出</w:t>
      </w:r>
      <w:r>
        <w:rPr>
          <w:rFonts w:hint="eastAsia" w:ascii="仿宋_GB2312" w:eastAsia="仿宋_GB2312"/>
          <w:color w:val="000000"/>
          <w:sz w:val="32"/>
          <w:szCs w:val="32"/>
        </w:rPr>
        <w:t>466.74</w:t>
      </w:r>
      <w:r>
        <w:rPr>
          <w:rFonts w:hint="eastAsia"/>
          <w:sz w:val="28"/>
          <w:szCs w:val="28"/>
        </w:rPr>
        <w:t>万元，占37.94%；社会保障和就业（类）支出48.88万元，</w:t>
      </w:r>
      <w:r>
        <w:rPr>
          <w:sz w:val="28"/>
          <w:szCs w:val="28"/>
        </w:rPr>
        <w:t xml:space="preserve"> </w:t>
      </w:r>
      <w:r>
        <w:rPr>
          <w:rFonts w:hint="eastAsia"/>
          <w:sz w:val="28"/>
          <w:szCs w:val="28"/>
        </w:rPr>
        <w:t>占3.97%；卫生健康（类）支出19.71万元，占1.6%；节能环保支出5万元，占比0.41%；城乡社区支出60万元，占4.88%；</w:t>
      </w:r>
      <w:r>
        <w:rPr>
          <w:rFonts w:hint="eastAsia"/>
          <w:color w:val="000000"/>
          <w:sz w:val="28"/>
          <w:szCs w:val="28"/>
        </w:rPr>
        <w:t>农林水（类）支出492.43万元，占40.03%；住房保障（类）支出31.19万元，占2.54%；灾害防治及应急管理（类）支出106.15万元，占8.63%。</w:t>
      </w:r>
    </w:p>
    <w:p>
      <w:pPr>
        <w:spacing w:after="0" w:line="500" w:lineRule="exact"/>
        <w:ind w:firstLine="421" w:firstLineChars="150"/>
        <w:rPr>
          <w:b/>
          <w:color w:val="000000"/>
          <w:sz w:val="28"/>
          <w:szCs w:val="28"/>
        </w:rPr>
      </w:pPr>
      <w:r>
        <w:rPr>
          <w:rFonts w:hint="eastAsia"/>
          <w:b/>
          <w:color w:val="000000"/>
          <w:sz w:val="28"/>
          <w:szCs w:val="28"/>
        </w:rPr>
        <w:t>（三）财政拨款支出决算具体情况</w:t>
      </w:r>
    </w:p>
    <w:p>
      <w:pPr>
        <w:spacing w:after="0" w:line="500" w:lineRule="exact"/>
        <w:ind w:firstLine="560" w:firstLineChars="200"/>
        <w:rPr>
          <w:color w:val="000000"/>
          <w:sz w:val="28"/>
          <w:szCs w:val="28"/>
        </w:rPr>
      </w:pPr>
      <w:r>
        <w:rPr>
          <w:rFonts w:hint="eastAsia"/>
          <w:color w:val="000000"/>
          <w:sz w:val="28"/>
          <w:szCs w:val="28"/>
        </w:rPr>
        <w:t>2021年度财政拨款支出年初预算821.77万元，支出决算</w:t>
      </w:r>
      <w:r>
        <w:rPr>
          <w:rFonts w:hint="eastAsia"/>
          <w:sz w:val="28"/>
          <w:szCs w:val="28"/>
        </w:rPr>
        <w:t>1230.09</w:t>
      </w:r>
      <w:r>
        <w:rPr>
          <w:rFonts w:hint="eastAsia"/>
          <w:color w:val="000000"/>
          <w:sz w:val="28"/>
          <w:szCs w:val="28"/>
        </w:rPr>
        <w:t>万元，完成年初预算的149.69%。其中：</w:t>
      </w:r>
    </w:p>
    <w:p>
      <w:pPr>
        <w:spacing w:after="0" w:line="500" w:lineRule="exact"/>
        <w:ind w:firstLine="560" w:firstLineChars="200"/>
        <w:rPr>
          <w:color w:val="000000"/>
          <w:sz w:val="28"/>
          <w:szCs w:val="28"/>
        </w:rPr>
      </w:pPr>
      <w:r>
        <w:rPr>
          <w:rFonts w:hint="eastAsia"/>
          <w:color w:val="000000"/>
          <w:sz w:val="28"/>
          <w:szCs w:val="28"/>
        </w:rPr>
        <w:t>一般公共服务支出年初预算417.39万元，支出决算466.74万元，完成年初预算的111.82%，用于一般公共服务支出较上年决算增加11.13万元，增加2.44%，主要原因人员调入支出增加;  社会保障和就业支出年初预算39.89万元，支出决算48.88万元，完成年初预算的122.54%，用于社会保障和就业较上年决算增加1.99万元，增加4.24%，主要原因新转入本单位人员增多，造成社会保障和就业增加; 卫生健康支出年初预算20.27万元，支出决算19.71万元，完成年初预算的97.24%，用于卫生健康较上年决算增加3.07万元，增长18.45%，主要原因因新冠疫情不断反复，防疫工作力度加大，相关费用投入就有所增加; 节能环保支出年初预算0万元，支出决算5万元，较上年决算增加5万元，主要原因是高岸2021年新增了污染防治项目；城乡社区支出年初预算0万元，支出决算60万元，较上年决算减少333.06万元，减少84.74%，主要原因为2020年度207国道建设资金多，2021年度207国道建设资金少；农林水支出年初预算313.05万元，支出决算492.43万元，完成年初预算的157.3%，用于 农林水支出较上年决算减少61.34万元，减少11.08%，主要原因为各村全面脱贫步入巩固脱贫攻坚有效衔接乡村振兴阶段后，对村的资金投入一定程度上有所减少;住房保障支出年初预算31.17万元，支出决算31.19万元，完成年初预算的100.06%%，用于住房保障支出较上年决算减少6.06万元，减少16.27%，主要原因基数变动；灾害防治及应急管理支出年初预算0万元，支出决算106.15万元，用于灾害防治及应急管理较上年决算增加93.16万元，增长717.17%，主要原因汛期下雨量过大，群众受灾严重，汛期农作物补偿和受损农房恢复重建资金增加，所以较上年增加。</w:t>
      </w:r>
    </w:p>
    <w:p>
      <w:pPr>
        <w:spacing w:after="0" w:line="500" w:lineRule="exact"/>
        <w:ind w:firstLine="560" w:firstLineChars="200"/>
        <w:rPr>
          <w:color w:val="000000"/>
          <w:sz w:val="28"/>
          <w:szCs w:val="28"/>
        </w:rPr>
      </w:pPr>
    </w:p>
    <w:tbl>
      <w:tblPr>
        <w:tblStyle w:val="14"/>
        <w:tblW w:w="9209" w:type="dxa"/>
        <w:tblInd w:w="93" w:type="dxa"/>
        <w:tblLayout w:type="autofit"/>
        <w:tblCellMar>
          <w:top w:w="0" w:type="dxa"/>
          <w:left w:w="108" w:type="dxa"/>
          <w:bottom w:w="0" w:type="dxa"/>
          <w:right w:w="108" w:type="dxa"/>
        </w:tblCellMar>
      </w:tblPr>
      <w:tblGrid>
        <w:gridCol w:w="2416"/>
        <w:gridCol w:w="1066"/>
        <w:gridCol w:w="1066"/>
        <w:gridCol w:w="1339"/>
        <w:gridCol w:w="1016"/>
        <w:gridCol w:w="1014"/>
        <w:gridCol w:w="1292"/>
      </w:tblGrid>
      <w:tr>
        <w:tblPrEx>
          <w:tblCellMar>
            <w:top w:w="0" w:type="dxa"/>
            <w:left w:w="108" w:type="dxa"/>
            <w:bottom w:w="0" w:type="dxa"/>
            <w:right w:w="108" w:type="dxa"/>
          </w:tblCellMar>
        </w:tblPrEx>
        <w:trPr>
          <w:trHeight w:val="573" w:hRule="atLeast"/>
        </w:trPr>
        <w:tc>
          <w:tcPr>
            <w:tcW w:w="9209" w:type="dxa"/>
            <w:gridSpan w:val="7"/>
            <w:tcBorders>
              <w:top w:val="nil"/>
              <w:left w:val="nil"/>
              <w:bottom w:val="nil"/>
              <w:right w:val="nil"/>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b/>
                <w:bCs/>
                <w:sz w:val="28"/>
                <w:szCs w:val="28"/>
              </w:rPr>
              <w:t>财政拨款支出决算对比表</w:t>
            </w:r>
          </w:p>
        </w:tc>
      </w:tr>
      <w:tr>
        <w:tblPrEx>
          <w:tblCellMar>
            <w:top w:w="0" w:type="dxa"/>
            <w:left w:w="108" w:type="dxa"/>
            <w:bottom w:w="0" w:type="dxa"/>
            <w:right w:w="108" w:type="dxa"/>
          </w:tblCellMar>
        </w:tblPrEx>
        <w:trPr>
          <w:trHeight w:val="467" w:hRule="atLeast"/>
        </w:trPr>
        <w:tc>
          <w:tcPr>
            <w:tcW w:w="0" w:type="auto"/>
            <w:gridSpan w:val="7"/>
            <w:tcBorders>
              <w:top w:val="nil"/>
              <w:left w:val="nil"/>
              <w:bottom w:val="nil"/>
              <w:right w:val="nil"/>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 xml:space="preserve">                                                                   单位：万元</w:t>
            </w:r>
          </w:p>
        </w:tc>
      </w:tr>
      <w:tr>
        <w:tblPrEx>
          <w:tblCellMar>
            <w:top w:w="0" w:type="dxa"/>
            <w:left w:w="108" w:type="dxa"/>
            <w:bottom w:w="0" w:type="dxa"/>
            <w:right w:w="108" w:type="dxa"/>
          </w:tblCellMar>
        </w:tblPrEx>
        <w:trPr>
          <w:trHeight w:val="500" w:hRule="atLeast"/>
        </w:trPr>
        <w:tc>
          <w:tcPr>
            <w:tcW w:w="2416"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项目（按功能分类）</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本年初预算数</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本年决算数</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完成预算</w:t>
            </w:r>
          </w:p>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比例</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上年决算数</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决算较上年增加额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增幅</w:t>
            </w:r>
          </w:p>
        </w:tc>
      </w:tr>
      <w:tr>
        <w:tblPrEx>
          <w:tblCellMar>
            <w:top w:w="0" w:type="dxa"/>
            <w:left w:w="108" w:type="dxa"/>
            <w:bottom w:w="0" w:type="dxa"/>
            <w:right w:w="108" w:type="dxa"/>
          </w:tblCellMar>
        </w:tblPrEx>
        <w:trPr>
          <w:trHeight w:val="500" w:hRule="atLeast"/>
        </w:trPr>
        <w:tc>
          <w:tcPr>
            <w:tcW w:w="2416"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after="0" w:line="500" w:lineRule="exact"/>
              <w:jc w:val="center"/>
              <w:rPr>
                <w:rFonts w:ascii="宋体" w:hAnsi="宋体" w:eastAsia="宋体" w:cs="宋体"/>
                <w:sz w:val="20"/>
                <w:szCs w:val="20"/>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after="0" w:line="500" w:lineRule="exact"/>
              <w:jc w:val="center"/>
              <w:rPr>
                <w:rFonts w:ascii="宋体" w:hAnsi="宋体" w:eastAsia="宋体" w:cs="宋体"/>
                <w:sz w:val="20"/>
                <w:szCs w:val="20"/>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after="0" w:line="500" w:lineRule="exact"/>
              <w:jc w:val="center"/>
              <w:rPr>
                <w:rFonts w:ascii="宋体" w:hAnsi="宋体" w:eastAsia="宋体" w:cs="宋体"/>
                <w:sz w:val="20"/>
                <w:szCs w:val="20"/>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after="0" w:line="500" w:lineRule="exact"/>
              <w:jc w:val="center"/>
              <w:rPr>
                <w:rFonts w:ascii="宋体" w:hAnsi="宋体" w:eastAsia="宋体" w:cs="宋体"/>
                <w:sz w:val="20"/>
                <w:szCs w:val="20"/>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after="0" w:line="500" w:lineRule="exact"/>
              <w:jc w:val="center"/>
              <w:rPr>
                <w:rFonts w:ascii="宋体" w:hAnsi="宋体" w:eastAsia="宋体" w:cs="宋体"/>
                <w:sz w:val="20"/>
                <w:szCs w:val="20"/>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after="0" w:line="500" w:lineRule="exact"/>
              <w:jc w:val="center"/>
              <w:rPr>
                <w:rFonts w:ascii="宋体" w:hAnsi="宋体" w:eastAsia="宋体" w:cs="宋体"/>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spacing w:after="0" w:line="500" w:lineRule="exact"/>
              <w:jc w:val="center"/>
              <w:rPr>
                <w:rFonts w:ascii="宋体" w:hAnsi="宋体" w:eastAsia="宋体" w:cs="宋体"/>
                <w:sz w:val="20"/>
                <w:szCs w:val="20"/>
              </w:rPr>
            </w:pPr>
          </w:p>
        </w:tc>
      </w:tr>
      <w:tr>
        <w:tblPrEx>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一般公共服务支出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417.39</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466.74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111.82%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455.61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2.44%</w:t>
            </w:r>
          </w:p>
        </w:tc>
      </w:tr>
      <w:tr>
        <w:tblPrEx>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社会保障和就业支出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39.89</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48.88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122.54%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46.89</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4.24%</w:t>
            </w:r>
          </w:p>
        </w:tc>
      </w:tr>
      <w:tr>
        <w:tblPrEx>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卫生健康支出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20.27</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19.71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97.24%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16.64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18.45%</w:t>
            </w:r>
          </w:p>
        </w:tc>
      </w:tr>
      <w:tr>
        <w:tblPrEx>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节能环保支出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p>
        </w:tc>
      </w:tr>
      <w:tr>
        <w:tblPrEx>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城乡社区支出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393.06</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333.06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84.74%</w:t>
            </w:r>
          </w:p>
        </w:tc>
      </w:tr>
      <w:tr>
        <w:tblPrEx>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农林水支出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313.05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492.43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157.3%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553.77</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-61.34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-11.08%</w:t>
            </w:r>
          </w:p>
        </w:tc>
      </w:tr>
      <w:tr>
        <w:tblPrEx>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住房保障支出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31.17</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31.19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100.06%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37.25</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-16.27%</w:t>
            </w:r>
          </w:p>
        </w:tc>
      </w:tr>
      <w:tr>
        <w:tblPrEx>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灾害防治及应急管理支出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106.15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12.99</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93.16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500" w:lineRule="exact"/>
              <w:jc w:val="center"/>
              <w:textAlignment w:val="center"/>
              <w:rPr>
                <w:rFonts w:ascii="宋体" w:hAnsi="宋体" w:eastAsia="宋体" w:cs="宋体"/>
                <w:sz w:val="20"/>
                <w:szCs w:val="20"/>
              </w:rPr>
            </w:pPr>
            <w:r>
              <w:rPr>
                <w:rFonts w:hint="eastAsia" w:ascii="宋体" w:hAnsi="宋体" w:eastAsia="宋体" w:cs="宋体"/>
                <w:sz w:val="20"/>
                <w:szCs w:val="20"/>
              </w:rPr>
              <w:t>717.17%</w:t>
            </w:r>
          </w:p>
        </w:tc>
      </w:tr>
    </w:tbl>
    <w:p>
      <w:pPr>
        <w:pStyle w:val="13"/>
        <w:spacing w:after="0" w:line="500" w:lineRule="exact"/>
        <w:ind w:firstLine="0" w:firstLineChars="0"/>
      </w:pPr>
    </w:p>
    <w:p>
      <w:pPr>
        <w:spacing w:after="0" w:line="500" w:lineRule="exact"/>
        <w:ind w:firstLine="562" w:firstLineChars="200"/>
        <w:rPr>
          <w:b/>
          <w:color w:val="000000"/>
          <w:sz w:val="28"/>
          <w:szCs w:val="28"/>
        </w:rPr>
      </w:pPr>
      <w:r>
        <w:rPr>
          <w:rFonts w:hint="eastAsia"/>
          <w:b/>
          <w:color w:val="000000"/>
          <w:sz w:val="28"/>
          <w:szCs w:val="28"/>
        </w:rPr>
        <w:t>六、一般公共预算财政拨款基本支出决算情况说明</w:t>
      </w:r>
    </w:p>
    <w:p>
      <w:pPr>
        <w:spacing w:after="0" w:line="500" w:lineRule="exact"/>
        <w:ind w:firstLine="560" w:firstLineChars="200"/>
        <w:rPr>
          <w:color w:val="000000"/>
          <w:sz w:val="28"/>
          <w:szCs w:val="28"/>
        </w:rPr>
      </w:pPr>
      <w:r>
        <w:rPr>
          <w:rFonts w:hint="eastAsia"/>
          <w:color w:val="000000"/>
          <w:sz w:val="28"/>
          <w:szCs w:val="28"/>
        </w:rPr>
        <w:t>2021年度财政拨款基本支出558.51万元，其中：人员经费480.76万元，主要包括工资福利支出；公用经费77.76万元，主要包括商品和服务支出。</w:t>
      </w:r>
    </w:p>
    <w:p>
      <w:pPr>
        <w:spacing w:after="0" w:line="500" w:lineRule="exact"/>
        <w:ind w:firstLine="562" w:firstLineChars="200"/>
        <w:rPr>
          <w:b/>
          <w:color w:val="000000"/>
          <w:sz w:val="28"/>
          <w:szCs w:val="28"/>
        </w:rPr>
      </w:pPr>
      <w:r>
        <w:rPr>
          <w:rFonts w:hint="eastAsia"/>
          <w:b/>
          <w:color w:val="000000"/>
          <w:sz w:val="28"/>
          <w:szCs w:val="28"/>
        </w:rPr>
        <w:t>七、一般公共预算财政拨款“三公”经费支出决算情况说明</w:t>
      </w:r>
    </w:p>
    <w:p>
      <w:pPr>
        <w:spacing w:after="0" w:line="500" w:lineRule="exact"/>
        <w:ind w:firstLine="562" w:firstLineChars="200"/>
        <w:rPr>
          <w:b/>
          <w:color w:val="000000"/>
          <w:sz w:val="28"/>
          <w:szCs w:val="28"/>
        </w:rPr>
      </w:pPr>
      <w:r>
        <w:rPr>
          <w:rFonts w:hint="eastAsia"/>
          <w:b/>
          <w:color w:val="000000"/>
          <w:sz w:val="28"/>
          <w:szCs w:val="28"/>
        </w:rPr>
        <w:t>（一）“三公”经费财政拨款支出决算总体情况说明。</w:t>
      </w:r>
    </w:p>
    <w:p>
      <w:pPr>
        <w:spacing w:after="0" w:line="500" w:lineRule="exact"/>
        <w:ind w:firstLine="560" w:firstLineChars="200"/>
        <w:rPr>
          <w:color w:val="000000"/>
          <w:sz w:val="28"/>
          <w:szCs w:val="28"/>
        </w:rPr>
      </w:pPr>
      <w:r>
        <w:rPr>
          <w:rFonts w:hint="eastAsia"/>
          <w:color w:val="000000"/>
          <w:sz w:val="28"/>
          <w:szCs w:val="28"/>
        </w:rPr>
        <w:t>2021年度“三公”经费财政拨款支出预算5万元，支出决算5万元，完成预算的100%，比上年减少5.91万元，减少54.17%，主要原因是：根据相关文件精神减少不必要开支，倡导厉行节约。</w:t>
      </w:r>
    </w:p>
    <w:p>
      <w:pPr>
        <w:spacing w:after="0" w:line="500" w:lineRule="exact"/>
        <w:ind w:firstLine="562" w:firstLineChars="200"/>
        <w:rPr>
          <w:b/>
          <w:color w:val="000000"/>
          <w:sz w:val="28"/>
          <w:szCs w:val="28"/>
        </w:rPr>
      </w:pPr>
      <w:r>
        <w:rPr>
          <w:rFonts w:hint="eastAsia"/>
          <w:b/>
          <w:color w:val="000000"/>
          <w:sz w:val="28"/>
          <w:szCs w:val="28"/>
        </w:rPr>
        <w:t>（二）“三公”经费财政拨款支出决算具体情况说明。</w:t>
      </w:r>
    </w:p>
    <w:p>
      <w:pPr>
        <w:spacing w:after="0" w:line="500" w:lineRule="exact"/>
        <w:ind w:firstLine="636"/>
        <w:rPr>
          <w:rFonts w:ascii="仿宋_GB2312" w:hAnsi="仿宋" w:eastAsia="仿宋_GB2312"/>
          <w:b/>
          <w:color w:val="000000"/>
          <w:sz w:val="32"/>
          <w:szCs w:val="32"/>
        </w:rPr>
      </w:pPr>
      <w:r>
        <w:rPr>
          <w:rFonts w:hint="eastAsia" w:ascii="仿宋_GB2312" w:hAnsi="仿宋" w:eastAsia="仿宋_GB2312"/>
          <w:b/>
          <w:color w:val="000000"/>
          <w:sz w:val="32"/>
          <w:szCs w:val="32"/>
        </w:rPr>
        <w:t>（1）与预算数比较</w:t>
      </w:r>
    </w:p>
    <w:tbl>
      <w:tblPr>
        <w:tblStyle w:val="14"/>
        <w:tblW w:w="0" w:type="auto"/>
        <w:tblInd w:w="91" w:type="dxa"/>
        <w:tblLayout w:type="autofit"/>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b/>
                <w:bCs/>
                <w:color w:val="000000"/>
                <w:sz w:val="20"/>
                <w:szCs w:val="20"/>
              </w:rPr>
            </w:pPr>
            <w:r>
              <w:rPr>
                <w:rFonts w:hint="eastAsia" w:ascii="宋体" w:hAnsi="宋体" w:cs="宋体"/>
                <w:b/>
                <w:bCs/>
                <w:color w:val="000000"/>
                <w:sz w:val="20"/>
                <w:szCs w:val="20"/>
              </w:rPr>
              <w:t>2021三公经费明细</w:t>
            </w:r>
          </w:p>
        </w:tc>
        <w:tc>
          <w:tcPr>
            <w:tcW w:w="1819"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sz w:val="20"/>
                <w:szCs w:val="20"/>
              </w:rPr>
            </w:pPr>
            <w:r>
              <w:rPr>
                <w:rFonts w:hint="eastAsia" w:ascii="宋体" w:hAnsi="宋体" w:cs="宋体"/>
                <w:b/>
                <w:bCs/>
                <w:color w:val="000000"/>
                <w:sz w:val="20"/>
                <w:szCs w:val="20"/>
              </w:rPr>
              <w:t>预算数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sz w:val="20"/>
                <w:szCs w:val="20"/>
              </w:rPr>
            </w:pPr>
            <w:r>
              <w:rPr>
                <w:rFonts w:hint="eastAsia" w:ascii="宋体" w:hAnsi="宋体" w:cs="宋体"/>
                <w:b/>
                <w:bCs/>
                <w:color w:val="000000"/>
                <w:sz w:val="20"/>
                <w:szCs w:val="20"/>
              </w:rPr>
              <w:t>决算数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tcPr>
          <w:p>
            <w:pPr>
              <w:spacing w:after="0" w:line="500" w:lineRule="exact"/>
              <w:jc w:val="center"/>
              <w:rPr>
                <w:rFonts w:ascii="宋体" w:hAnsi="宋体" w:cs="宋体"/>
                <w:b/>
                <w:bCs/>
                <w:color w:val="000000"/>
                <w:sz w:val="20"/>
                <w:szCs w:val="20"/>
              </w:rPr>
            </w:pPr>
            <w:r>
              <w:rPr>
                <w:rFonts w:hint="eastAsia" w:ascii="宋体" w:hAnsi="宋体" w:cs="宋体"/>
                <w:b/>
                <w:bCs/>
                <w:color w:val="000000"/>
                <w:sz w:val="20"/>
                <w:szCs w:val="20"/>
              </w:rPr>
              <w:t>决算完成预算比例%</w:t>
            </w:r>
          </w:p>
        </w:tc>
      </w:tr>
      <w:tr>
        <w:tblPrEx>
          <w:tblCellMar>
            <w:top w:w="0" w:type="dxa"/>
            <w:left w:w="108" w:type="dxa"/>
            <w:bottom w:w="0" w:type="dxa"/>
            <w:right w:w="108" w:type="dxa"/>
          </w:tblCellMar>
        </w:tblPrEx>
        <w:trPr>
          <w:trHeight w:val="411"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b/>
                <w:bCs/>
                <w:color w:val="000000"/>
              </w:rPr>
            </w:pPr>
            <w:r>
              <w:rPr>
                <w:rFonts w:hint="eastAsia" w:ascii="宋体" w:hAnsi="宋体" w:cs="宋体"/>
                <w:b/>
                <w:bCs/>
                <w:color w:val="000000"/>
              </w:rPr>
              <w:t>合计</w:t>
            </w:r>
          </w:p>
        </w:tc>
        <w:tc>
          <w:tcPr>
            <w:tcW w:w="1819"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5</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5</w:t>
            </w:r>
          </w:p>
        </w:tc>
        <w:tc>
          <w:tcPr>
            <w:tcW w:w="1843" w:type="dxa"/>
            <w:tcBorders>
              <w:top w:val="single" w:color="auto" w:sz="4" w:space="0"/>
              <w:left w:val="single" w:color="auto" w:sz="4" w:space="0"/>
              <w:bottom w:val="single" w:color="auto" w:sz="4" w:space="0"/>
              <w:right w:val="single" w:color="auto" w:sz="4" w:space="0"/>
            </w:tcBorders>
          </w:tcPr>
          <w:p>
            <w:pPr>
              <w:spacing w:after="0" w:line="500" w:lineRule="exact"/>
              <w:rPr>
                <w:rFonts w:ascii="宋体" w:hAnsi="宋体" w:cs="宋体"/>
                <w:color w:val="000000"/>
              </w:rPr>
            </w:pPr>
            <w:r>
              <w:rPr>
                <w:rFonts w:hint="eastAsia" w:ascii="宋体" w:hAnsi="宋体" w:cs="宋体"/>
                <w:color w:val="000000"/>
              </w:rPr>
              <w:t>100</w:t>
            </w:r>
          </w:p>
        </w:tc>
      </w:tr>
      <w:tr>
        <w:tblPrEx>
          <w:tblCellMar>
            <w:top w:w="0" w:type="dxa"/>
            <w:left w:w="108" w:type="dxa"/>
            <w:bottom w:w="0" w:type="dxa"/>
            <w:right w:w="108" w:type="dxa"/>
          </w:tblCellMar>
        </w:tblPrEx>
        <w:trPr>
          <w:trHeight w:val="459"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因公出国（境）费</w:t>
            </w:r>
          </w:p>
        </w:tc>
        <w:tc>
          <w:tcPr>
            <w:tcW w:w="1819"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spacing w:after="0" w:line="500" w:lineRule="exact"/>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公务用车购置及运行维护费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5</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5</w:t>
            </w:r>
          </w:p>
        </w:tc>
        <w:tc>
          <w:tcPr>
            <w:tcW w:w="1843" w:type="dxa"/>
            <w:tcBorders>
              <w:top w:val="single" w:color="auto" w:sz="4" w:space="0"/>
              <w:left w:val="single" w:color="auto" w:sz="4" w:space="0"/>
              <w:bottom w:val="single" w:color="auto" w:sz="4" w:space="0"/>
              <w:right w:val="single" w:color="auto" w:sz="4" w:space="0"/>
            </w:tcBorders>
          </w:tcPr>
          <w:p>
            <w:pPr>
              <w:spacing w:after="0" w:line="500" w:lineRule="exact"/>
              <w:rPr>
                <w:rFonts w:ascii="宋体" w:hAnsi="宋体" w:cs="宋体"/>
                <w:color w:val="000000"/>
              </w:rPr>
            </w:pPr>
            <w:r>
              <w:rPr>
                <w:rFonts w:hint="eastAsia" w:ascii="宋体" w:hAnsi="宋体" w:cs="宋体"/>
                <w:color w:val="000000"/>
              </w:rPr>
              <w:t>100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spacing w:after="0" w:line="500" w:lineRule="exact"/>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sz w:val="20"/>
                <w:szCs w:val="20"/>
              </w:rPr>
            </w:pPr>
            <w:r>
              <w:rPr>
                <w:rFonts w:hint="eastAsia" w:ascii="宋体" w:hAnsi="宋体" w:cs="宋体"/>
                <w:color w:val="000000"/>
              </w:rPr>
              <w:t xml:space="preserve">      </w:t>
            </w:r>
            <w:r>
              <w:rPr>
                <w:rFonts w:hint="eastAsia" w:ascii="宋体" w:hAnsi="宋体" w:cs="宋体"/>
                <w:color w:val="000000"/>
                <w:sz w:val="20"/>
                <w:szCs w:val="2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5</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5</w:t>
            </w:r>
          </w:p>
        </w:tc>
        <w:tc>
          <w:tcPr>
            <w:tcW w:w="1843" w:type="dxa"/>
            <w:tcBorders>
              <w:top w:val="single" w:color="auto" w:sz="4" w:space="0"/>
              <w:left w:val="single" w:color="auto" w:sz="4" w:space="0"/>
              <w:bottom w:val="single" w:color="auto" w:sz="4" w:space="0"/>
              <w:right w:val="single" w:color="auto" w:sz="4" w:space="0"/>
            </w:tcBorders>
          </w:tcPr>
          <w:p>
            <w:pPr>
              <w:spacing w:after="0" w:line="500" w:lineRule="exact"/>
              <w:rPr>
                <w:rFonts w:ascii="宋体" w:hAnsi="宋体" w:cs="宋体"/>
                <w:color w:val="000000"/>
              </w:rPr>
            </w:pPr>
            <w:r>
              <w:rPr>
                <w:rFonts w:hint="eastAsia" w:ascii="宋体" w:hAnsi="宋体" w:cs="宋体"/>
                <w:color w:val="000000"/>
              </w:rPr>
              <w:t>100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公务接待费</w:t>
            </w:r>
          </w:p>
        </w:tc>
        <w:tc>
          <w:tcPr>
            <w:tcW w:w="1819"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spacing w:after="0" w:line="500" w:lineRule="exact"/>
              <w:rPr>
                <w:rFonts w:ascii="宋体" w:hAnsi="宋体" w:cs="宋体"/>
                <w:color w:val="000000"/>
              </w:rPr>
            </w:pPr>
            <w:r>
              <w:rPr>
                <w:rFonts w:hint="eastAsia" w:ascii="宋体" w:hAnsi="宋体" w:cs="宋体"/>
                <w:color w:val="000000"/>
              </w:rPr>
              <w:t>0</w:t>
            </w:r>
          </w:p>
        </w:tc>
      </w:tr>
    </w:tbl>
    <w:p>
      <w:pPr>
        <w:spacing w:after="0" w:line="500" w:lineRule="exact"/>
        <w:rPr>
          <w:rFonts w:ascii="仿宋_GB2312" w:hAnsi="仿宋" w:eastAsia="仿宋_GB2312"/>
          <w:b/>
          <w:color w:val="000000"/>
          <w:sz w:val="32"/>
          <w:szCs w:val="32"/>
        </w:rPr>
      </w:pPr>
    </w:p>
    <w:p>
      <w:pPr>
        <w:spacing w:after="0" w:line="500" w:lineRule="exact"/>
        <w:ind w:firstLine="642"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（2）上下年度比较</w:t>
      </w:r>
    </w:p>
    <w:tbl>
      <w:tblPr>
        <w:tblStyle w:val="14"/>
        <w:tblW w:w="8431" w:type="dxa"/>
        <w:tblInd w:w="91" w:type="dxa"/>
        <w:tblLayout w:type="autofit"/>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三公经费明细</w:t>
            </w:r>
          </w:p>
        </w:tc>
        <w:tc>
          <w:tcPr>
            <w:tcW w:w="3118" w:type="dxa"/>
            <w:gridSpan w:val="2"/>
            <w:tcBorders>
              <w:top w:val="single" w:color="auto" w:sz="4" w:space="0"/>
              <w:left w:val="nil"/>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比上年增加</w:t>
            </w:r>
          </w:p>
        </w:tc>
        <w:tc>
          <w:tcPr>
            <w:tcW w:w="1184" w:type="dxa"/>
            <w:vMerge w:val="restart"/>
            <w:tcBorders>
              <w:top w:val="single" w:color="auto" w:sz="4" w:space="0"/>
              <w:left w:val="nil"/>
              <w:right w:val="single" w:color="auto" w:sz="4" w:space="0"/>
            </w:tcBorders>
          </w:tcPr>
          <w:p>
            <w:pPr>
              <w:spacing w:after="0" w:line="500" w:lineRule="exact"/>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spacing w:after="0" w:line="500" w:lineRule="exact"/>
              <w:rPr>
                <w:rFonts w:ascii="宋体" w:hAnsi="宋体" w:cs="宋体"/>
                <w:b/>
                <w:bCs/>
                <w:color w:val="000000"/>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2021-2020</w:t>
            </w:r>
          </w:p>
        </w:tc>
        <w:tc>
          <w:tcPr>
            <w:tcW w:w="1184" w:type="dxa"/>
            <w:vMerge w:val="continue"/>
            <w:tcBorders>
              <w:left w:val="single" w:color="auto" w:sz="4" w:space="0"/>
              <w:bottom w:val="single" w:color="auto" w:sz="4" w:space="0"/>
              <w:right w:val="single" w:color="auto" w:sz="4" w:space="0"/>
            </w:tcBorders>
          </w:tcPr>
          <w:p>
            <w:pPr>
              <w:spacing w:after="0" w:line="500" w:lineRule="exact"/>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spacing w:after="0" w:line="500" w:lineRule="exact"/>
              <w:rPr>
                <w:rFonts w:ascii="宋体" w:hAnsi="宋体" w:cs="宋体"/>
                <w:b/>
                <w:bCs/>
                <w:color w:val="000000"/>
              </w:rPr>
            </w:pPr>
            <w:r>
              <w:rPr>
                <w:rFonts w:hint="eastAsia" w:ascii="宋体" w:hAnsi="宋体" w:cs="宋体"/>
                <w:b/>
                <w:bCs/>
                <w:color w:val="000000"/>
              </w:rPr>
              <w:t>合计</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5</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10.9090</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-5.9090</w:t>
            </w:r>
          </w:p>
        </w:tc>
        <w:tc>
          <w:tcPr>
            <w:tcW w:w="1184" w:type="dxa"/>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color w:val="000000"/>
              </w:rPr>
            </w:pPr>
            <w:r>
              <w:rPr>
                <w:rFonts w:hint="eastAsia" w:ascii="宋体" w:hAnsi="宋体" w:cs="宋体"/>
                <w:color w:val="000000"/>
              </w:rPr>
              <w:t>-54.17</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sz w:val="18"/>
                <w:szCs w:val="18"/>
              </w:rPr>
            </w:pPr>
            <w:r>
              <w:rPr>
                <w:rFonts w:hint="eastAsia" w:ascii="宋体" w:hAnsi="宋体" w:cs="宋体"/>
                <w:color w:val="000000"/>
                <w:sz w:val="18"/>
                <w:szCs w:val="18"/>
              </w:rPr>
              <w:t>因公出国（境）费</w:t>
            </w:r>
          </w:p>
        </w:tc>
        <w:tc>
          <w:tcPr>
            <w:tcW w:w="1701" w:type="dxa"/>
            <w:tcBorders>
              <w:top w:val="single" w:color="auto" w:sz="4" w:space="0"/>
              <w:left w:val="nil"/>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spacing w:after="0" w:line="500" w:lineRule="exact"/>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sz w:val="18"/>
                <w:szCs w:val="18"/>
              </w:rPr>
            </w:pPr>
            <w:r>
              <w:rPr>
                <w:rFonts w:hint="eastAsia" w:ascii="宋体" w:hAnsi="宋体" w:cs="宋体"/>
                <w:color w:val="000000"/>
                <w:sz w:val="18"/>
                <w:szCs w:val="18"/>
              </w:rPr>
              <w:t>公务用车购置及运行维护费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5</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10</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-5</w:t>
            </w:r>
          </w:p>
        </w:tc>
        <w:tc>
          <w:tcPr>
            <w:tcW w:w="1184" w:type="dxa"/>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color w:val="000000"/>
              </w:rPr>
            </w:pPr>
            <w:r>
              <w:rPr>
                <w:rFonts w:hint="eastAsia" w:ascii="宋体" w:hAnsi="宋体" w:cs="宋体"/>
                <w:color w:val="000000"/>
              </w:rPr>
              <w:t>-50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sz w:val="18"/>
                <w:szCs w:val="18"/>
              </w:rPr>
            </w:pPr>
            <w:r>
              <w:rPr>
                <w:rFonts w:hint="eastAsia" w:ascii="宋体" w:hAnsi="宋体" w:cs="宋体"/>
                <w:color w:val="000000"/>
                <w:sz w:val="18"/>
                <w:szCs w:val="18"/>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sz w:val="18"/>
                <w:szCs w:val="18"/>
              </w:rPr>
            </w:pPr>
            <w:r>
              <w:rPr>
                <w:rFonts w:hint="eastAsia" w:ascii="宋体" w:hAnsi="宋体" w:cs="宋体"/>
                <w:color w:val="000000"/>
                <w:sz w:val="18"/>
                <w:szCs w:val="18"/>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5</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10</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-5</w:t>
            </w:r>
          </w:p>
        </w:tc>
        <w:tc>
          <w:tcPr>
            <w:tcW w:w="1184" w:type="dxa"/>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color w:val="000000"/>
              </w:rPr>
            </w:pPr>
            <w:r>
              <w:rPr>
                <w:rFonts w:hint="eastAsia" w:ascii="宋体" w:hAnsi="宋体" w:cs="宋体"/>
                <w:color w:val="000000"/>
              </w:rPr>
              <w:t>-50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rPr>
                <w:rFonts w:ascii="宋体" w:hAnsi="宋体" w:cs="宋体"/>
                <w:color w:val="000000"/>
                <w:sz w:val="18"/>
                <w:szCs w:val="18"/>
              </w:rPr>
            </w:pPr>
            <w:r>
              <w:rPr>
                <w:rFonts w:hint="eastAsia" w:ascii="宋体" w:hAnsi="宋体" w:cs="宋体"/>
                <w:color w:val="000000"/>
                <w:sz w:val="18"/>
                <w:szCs w:val="18"/>
              </w:rPr>
              <w:t>公务接待费</w:t>
            </w:r>
          </w:p>
        </w:tc>
        <w:tc>
          <w:tcPr>
            <w:tcW w:w="1701" w:type="dxa"/>
            <w:tcBorders>
              <w:top w:val="single" w:color="auto" w:sz="4" w:space="0"/>
              <w:left w:val="nil"/>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9090</w:t>
            </w:r>
          </w:p>
        </w:tc>
        <w:tc>
          <w:tcPr>
            <w:tcW w:w="1418" w:type="dxa"/>
            <w:tcBorders>
              <w:top w:val="single" w:color="auto" w:sz="4" w:space="0"/>
              <w:left w:val="nil"/>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-0.9090</w:t>
            </w:r>
          </w:p>
        </w:tc>
        <w:tc>
          <w:tcPr>
            <w:tcW w:w="1184" w:type="dxa"/>
            <w:tcBorders>
              <w:top w:val="single" w:color="auto" w:sz="4" w:space="0"/>
              <w:left w:val="nil"/>
              <w:bottom w:val="single" w:color="auto" w:sz="4" w:space="0"/>
              <w:right w:val="single" w:color="auto" w:sz="4" w:space="0"/>
            </w:tcBorders>
            <w:vAlign w:val="center"/>
          </w:tcPr>
          <w:p>
            <w:pPr>
              <w:spacing w:after="0" w:line="500" w:lineRule="exact"/>
              <w:jc w:val="center"/>
              <w:rPr>
                <w:rFonts w:ascii="宋体" w:hAnsi="宋体" w:cs="宋体"/>
                <w:color w:val="000000"/>
              </w:rPr>
            </w:pPr>
            <w:r>
              <w:rPr>
                <w:rFonts w:hint="eastAsia" w:ascii="宋体" w:hAnsi="宋体" w:cs="宋体"/>
                <w:color w:val="000000"/>
              </w:rPr>
              <w:t>0.01</w:t>
            </w:r>
          </w:p>
        </w:tc>
      </w:tr>
    </w:tbl>
    <w:p>
      <w:pPr>
        <w:spacing w:after="0" w:line="500" w:lineRule="exact"/>
        <w:ind w:firstLine="636"/>
        <w:rPr>
          <w:rFonts w:ascii="仿宋_GB2312" w:hAnsi="仿宋" w:eastAsia="仿宋_GB2312"/>
          <w:b/>
          <w:color w:val="000000"/>
          <w:sz w:val="32"/>
          <w:szCs w:val="32"/>
        </w:rPr>
      </w:pPr>
      <w:r>
        <w:rPr>
          <w:rFonts w:hint="eastAsia" w:ascii="仿宋_GB2312" w:hAnsi="仿宋" w:eastAsia="仿宋_GB2312"/>
          <w:b/>
          <w:color w:val="000000"/>
          <w:sz w:val="32"/>
          <w:szCs w:val="32"/>
        </w:rPr>
        <w:t>（3）具体情况说明</w:t>
      </w:r>
    </w:p>
    <w:p>
      <w:pPr>
        <w:spacing w:after="0" w:line="500" w:lineRule="exact"/>
        <w:ind w:firstLine="560" w:firstLineChars="200"/>
        <w:rPr>
          <w:rFonts w:ascii="微软雅黑" w:hAnsi="微软雅黑" w:cs="宋体"/>
          <w:color w:val="000000"/>
          <w:sz w:val="28"/>
          <w:szCs w:val="28"/>
        </w:rPr>
      </w:pPr>
      <w:r>
        <w:rPr>
          <w:rFonts w:hint="eastAsia" w:ascii="微软雅黑" w:hAnsi="微软雅黑"/>
          <w:color w:val="000000"/>
          <w:sz w:val="28"/>
          <w:szCs w:val="28"/>
        </w:rPr>
        <w:t>2021年一般公共预算安排的“三公”经费年初预算5万元，支出决算5万元，完成年初预算的</w:t>
      </w:r>
      <w:r>
        <w:rPr>
          <w:rFonts w:hint="eastAsia" w:ascii="微软雅黑" w:hAnsi="微软雅黑" w:cs="宋体"/>
          <w:color w:val="000000"/>
          <w:sz w:val="28"/>
          <w:szCs w:val="28"/>
        </w:rPr>
        <w:t>100</w:t>
      </w:r>
      <w:r>
        <w:rPr>
          <w:rFonts w:hint="eastAsia" w:ascii="微软雅黑" w:hAnsi="微软雅黑"/>
          <w:color w:val="000000"/>
          <w:sz w:val="28"/>
          <w:szCs w:val="28"/>
        </w:rPr>
        <w:t>%，比上年减少5.91万元，减少54.17%。其中：因公出国（境）费用年初预算0万元，支出决算0万元，完成年初预算的0%，比上年增加0万元，增长0%，原因是我单位2021年度未发生因公出国（境）费用（</w:t>
      </w:r>
      <w:r>
        <w:rPr>
          <w:rFonts w:ascii="微软雅黑" w:hAnsi="微软雅黑"/>
          <w:color w:val="000000"/>
          <w:sz w:val="28"/>
          <w:szCs w:val="28"/>
        </w:rPr>
        <w:t>全年使用一般公共预算拨款支出安排的出国（境）团组</w:t>
      </w:r>
      <w:r>
        <w:rPr>
          <w:rFonts w:hint="eastAsia" w:ascii="微软雅黑" w:hAnsi="微软雅黑"/>
          <w:color w:val="000000"/>
          <w:sz w:val="28"/>
          <w:szCs w:val="28"/>
        </w:rPr>
        <w:t>0</w:t>
      </w:r>
      <w:r>
        <w:rPr>
          <w:rFonts w:ascii="微软雅黑" w:hAnsi="微软雅黑"/>
          <w:color w:val="000000"/>
          <w:sz w:val="28"/>
          <w:szCs w:val="28"/>
        </w:rPr>
        <w:t>个，累计</w:t>
      </w:r>
      <w:r>
        <w:rPr>
          <w:rFonts w:hint="eastAsia" w:ascii="微软雅黑" w:hAnsi="微软雅黑"/>
          <w:color w:val="000000"/>
          <w:sz w:val="28"/>
          <w:szCs w:val="28"/>
        </w:rPr>
        <w:t>0</w:t>
      </w:r>
      <w:r>
        <w:rPr>
          <w:rFonts w:ascii="微软雅黑" w:hAnsi="微软雅黑"/>
          <w:color w:val="000000"/>
          <w:sz w:val="28"/>
          <w:szCs w:val="28"/>
        </w:rPr>
        <w:t>人次</w:t>
      </w:r>
      <w:r>
        <w:rPr>
          <w:rFonts w:hint="eastAsia" w:ascii="微软雅黑" w:hAnsi="微软雅黑"/>
          <w:color w:val="000000"/>
          <w:sz w:val="28"/>
          <w:szCs w:val="28"/>
        </w:rPr>
        <w:t>）；其中公务用车购置及运行维护费用年初预算5万元，支出决算5万元，完成年初预算的</w:t>
      </w:r>
      <w:r>
        <w:rPr>
          <w:rFonts w:hint="eastAsia" w:ascii="微软雅黑" w:hAnsi="微软雅黑" w:cs="宋体"/>
          <w:color w:val="000000"/>
          <w:sz w:val="28"/>
          <w:szCs w:val="28"/>
        </w:rPr>
        <w:t>100</w:t>
      </w:r>
      <w:r>
        <w:rPr>
          <w:rFonts w:hint="eastAsia" w:ascii="微软雅黑" w:hAnsi="微软雅黑"/>
          <w:color w:val="000000"/>
          <w:sz w:val="28"/>
          <w:szCs w:val="28"/>
        </w:rPr>
        <w:t>%，比上年减少5万元，减少50%（具体：其中公务用车购置费年初预算</w:t>
      </w:r>
      <w:r>
        <w:rPr>
          <w:rFonts w:hint="eastAsia" w:ascii="微软雅黑" w:hAnsi="微软雅黑" w:cs="宋体"/>
          <w:color w:val="000000"/>
          <w:sz w:val="28"/>
          <w:szCs w:val="28"/>
        </w:rPr>
        <w:t>0</w:t>
      </w:r>
      <w:r>
        <w:rPr>
          <w:rFonts w:hint="eastAsia" w:ascii="微软雅黑" w:hAnsi="微软雅黑"/>
          <w:color w:val="000000"/>
          <w:sz w:val="28"/>
          <w:szCs w:val="28"/>
        </w:rPr>
        <w:t>万元，支出决算</w:t>
      </w:r>
      <w:r>
        <w:rPr>
          <w:rFonts w:hint="eastAsia" w:ascii="微软雅黑" w:hAnsi="微软雅黑" w:cs="宋体"/>
          <w:color w:val="000000"/>
          <w:sz w:val="28"/>
          <w:szCs w:val="28"/>
        </w:rPr>
        <w:t>0</w:t>
      </w:r>
      <w:r>
        <w:rPr>
          <w:rFonts w:hint="eastAsia" w:ascii="微软雅黑" w:hAnsi="微软雅黑"/>
          <w:color w:val="000000"/>
          <w:sz w:val="28"/>
          <w:szCs w:val="28"/>
        </w:rPr>
        <w:t>万元，完成年初预算的</w:t>
      </w:r>
      <w:r>
        <w:rPr>
          <w:rFonts w:hint="eastAsia" w:ascii="微软雅黑" w:hAnsi="微软雅黑" w:cs="宋体"/>
          <w:color w:val="000000"/>
          <w:sz w:val="28"/>
          <w:szCs w:val="28"/>
        </w:rPr>
        <w:t>0</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%，原因是我单位</w:t>
      </w:r>
      <w:r>
        <w:rPr>
          <w:rFonts w:hint="eastAsia" w:ascii="微软雅黑" w:hAnsi="微软雅黑"/>
          <w:sz w:val="28"/>
          <w:szCs w:val="28"/>
        </w:rPr>
        <w:t>2021年度未发生公务用车购置费</w:t>
      </w:r>
      <w:r>
        <w:rPr>
          <w:rFonts w:hint="eastAsia" w:ascii="微软雅黑" w:hAnsi="微软雅黑"/>
          <w:color w:val="000000"/>
          <w:sz w:val="28"/>
          <w:szCs w:val="28"/>
        </w:rPr>
        <w:t>；公务用车运行维护费年初预算5万元，支出决算5万元，完成年初预算的</w:t>
      </w:r>
      <w:r>
        <w:rPr>
          <w:rFonts w:hint="eastAsia" w:ascii="微软雅黑" w:hAnsi="微软雅黑" w:cs="宋体"/>
          <w:color w:val="000000"/>
          <w:sz w:val="28"/>
          <w:szCs w:val="28"/>
        </w:rPr>
        <w:t>100</w:t>
      </w:r>
      <w:r>
        <w:rPr>
          <w:rFonts w:hint="eastAsia" w:ascii="微软雅黑" w:hAnsi="微软雅黑"/>
          <w:color w:val="000000"/>
          <w:sz w:val="28"/>
          <w:szCs w:val="28"/>
        </w:rPr>
        <w:t>%，比上年减少5万元，减少50%，原因是</w:t>
      </w:r>
      <w:r>
        <w:rPr>
          <w:rFonts w:hint="eastAsia"/>
          <w:color w:val="000000"/>
          <w:sz w:val="28"/>
          <w:szCs w:val="28"/>
        </w:rPr>
        <w:t>根据相关文件精神减少不必要开支，倡导厉行节约</w:t>
      </w:r>
      <w:r>
        <w:rPr>
          <w:rFonts w:hint="eastAsia" w:ascii="微软雅黑" w:hAnsi="微软雅黑"/>
          <w:color w:val="000000"/>
          <w:sz w:val="28"/>
          <w:szCs w:val="28"/>
        </w:rPr>
        <w:t>；公务接待费年初预算</w:t>
      </w:r>
      <w:r>
        <w:rPr>
          <w:rFonts w:hint="eastAsia" w:ascii="微软雅黑" w:hAnsi="微软雅黑" w:cs="宋体"/>
          <w:color w:val="000000"/>
          <w:sz w:val="28"/>
          <w:szCs w:val="28"/>
        </w:rPr>
        <w:t>0</w:t>
      </w:r>
      <w:r>
        <w:rPr>
          <w:rFonts w:hint="eastAsia" w:ascii="微软雅黑" w:hAnsi="微软雅黑"/>
          <w:color w:val="000000"/>
          <w:sz w:val="28"/>
          <w:szCs w:val="28"/>
        </w:rPr>
        <w:t>万元，支出决算</w:t>
      </w:r>
      <w:r>
        <w:rPr>
          <w:rFonts w:hint="eastAsia" w:ascii="微软雅黑" w:hAnsi="微软雅黑" w:cs="宋体"/>
          <w:color w:val="000000"/>
          <w:sz w:val="28"/>
          <w:szCs w:val="28"/>
        </w:rPr>
        <w:t>0</w:t>
      </w:r>
      <w:r>
        <w:rPr>
          <w:rFonts w:hint="eastAsia" w:ascii="微软雅黑" w:hAnsi="微软雅黑"/>
          <w:color w:val="000000"/>
          <w:sz w:val="28"/>
          <w:szCs w:val="28"/>
        </w:rPr>
        <w:t>万元，完成年初预算的</w:t>
      </w:r>
      <w:r>
        <w:rPr>
          <w:rFonts w:hint="eastAsia" w:ascii="微软雅黑" w:hAnsi="微软雅黑" w:cs="宋体"/>
          <w:color w:val="000000"/>
          <w:sz w:val="28"/>
          <w:szCs w:val="28"/>
        </w:rPr>
        <w:t>0</w:t>
      </w:r>
      <w:r>
        <w:rPr>
          <w:rFonts w:hint="eastAsia" w:ascii="微软雅黑" w:hAnsi="微软雅黑"/>
          <w:color w:val="000000"/>
          <w:sz w:val="28"/>
          <w:szCs w:val="28"/>
        </w:rPr>
        <w:t>%，比上年减少0.91万元，减少0.01%，原因是</w:t>
      </w:r>
      <w:r>
        <w:rPr>
          <w:rFonts w:hint="eastAsia" w:ascii="微软雅黑" w:hAnsi="微软雅黑"/>
          <w:sz w:val="28"/>
          <w:szCs w:val="28"/>
        </w:rPr>
        <w:t>我单位2020年有脱贫攻坚普查接待费用，2021年度未发生公务接待费（全年使用一般公共预算拨款开支的国内公务接待0批次，0人次。）。</w:t>
      </w:r>
    </w:p>
    <w:p>
      <w:pPr>
        <w:spacing w:after="0" w:line="500" w:lineRule="exact"/>
        <w:ind w:firstLine="562" w:firstLineChars="200"/>
        <w:rPr>
          <w:b/>
          <w:color w:val="000000"/>
          <w:sz w:val="28"/>
          <w:szCs w:val="28"/>
        </w:rPr>
      </w:pPr>
      <w:r>
        <w:rPr>
          <w:rFonts w:hint="eastAsia"/>
          <w:b/>
          <w:color w:val="000000"/>
          <w:sz w:val="28"/>
          <w:szCs w:val="28"/>
        </w:rPr>
        <w:t>八、其他重要事项情况说明</w:t>
      </w:r>
    </w:p>
    <w:p>
      <w:pPr>
        <w:spacing w:after="0" w:line="500" w:lineRule="exact"/>
        <w:ind w:firstLine="562" w:firstLineChars="200"/>
        <w:rPr>
          <w:b/>
          <w:color w:val="000000"/>
          <w:sz w:val="28"/>
          <w:szCs w:val="28"/>
        </w:rPr>
      </w:pPr>
      <w:r>
        <w:rPr>
          <w:rFonts w:hint="eastAsia"/>
          <w:b/>
          <w:color w:val="000000"/>
          <w:sz w:val="28"/>
          <w:szCs w:val="28"/>
        </w:rPr>
        <w:t>（一）机关运行经费支出情况说明</w:t>
      </w:r>
    </w:p>
    <w:p>
      <w:pPr>
        <w:spacing w:after="0" w:line="500" w:lineRule="exact"/>
        <w:ind w:firstLine="560" w:firstLineChars="200"/>
        <w:rPr>
          <w:color w:val="000000"/>
          <w:sz w:val="28"/>
          <w:szCs w:val="28"/>
        </w:rPr>
      </w:pPr>
      <w:r>
        <w:rPr>
          <w:rFonts w:hint="eastAsia"/>
          <w:color w:val="000000"/>
          <w:sz w:val="28"/>
          <w:szCs w:val="28"/>
        </w:rPr>
        <w:t>2021年机关运行经费支出77.76万元（与部门决算中行政单位和参照公务员法管理的事业单位一般公共预算财政拨款基本支出中公用经费之和保持一致），比上年减少6.09万元，减少7.26%。主要原因是：根据相关文件精神减少不必要开支，倡导厉行节约。机关运行经费支出口径应在专业名词解释中子以说明。无机关运行经费的部门，须说明本部门无机关运行经费。</w:t>
      </w:r>
    </w:p>
    <w:p>
      <w:pPr>
        <w:spacing w:after="0" w:line="500" w:lineRule="exact"/>
        <w:ind w:firstLine="562" w:firstLineChars="200"/>
        <w:rPr>
          <w:b/>
          <w:color w:val="000000"/>
          <w:sz w:val="28"/>
          <w:szCs w:val="28"/>
        </w:rPr>
      </w:pPr>
      <w:r>
        <w:rPr>
          <w:rFonts w:hint="eastAsia"/>
          <w:b/>
          <w:color w:val="000000"/>
          <w:sz w:val="28"/>
          <w:szCs w:val="28"/>
        </w:rPr>
        <w:t>（二）政府采购情况说明</w:t>
      </w:r>
    </w:p>
    <w:p>
      <w:pPr>
        <w:spacing w:after="0" w:line="500" w:lineRule="exact"/>
        <w:ind w:firstLine="560" w:firstLineChars="200"/>
        <w:rPr>
          <w:color w:val="000000"/>
          <w:sz w:val="28"/>
          <w:szCs w:val="28"/>
        </w:rPr>
      </w:pPr>
      <w:r>
        <w:rPr>
          <w:rFonts w:hint="eastAsia"/>
          <w:color w:val="000000"/>
          <w:sz w:val="28"/>
          <w:szCs w:val="28"/>
        </w:rPr>
        <w:t>2021年度政府采购支出总额5万元，其中：政府采购货物支出5万元、政府采购工程支出0万元、政府采购服务支出0万元。政府采购授予中小企业合同金额0万元，占政府采购支出总额的0%。其中：授予小微企业合同金额0万元，占政府采购支出总额的0%.</w:t>
      </w:r>
    </w:p>
    <w:p>
      <w:pPr>
        <w:spacing w:after="0" w:line="500" w:lineRule="exact"/>
        <w:ind w:firstLine="562" w:firstLineChars="200"/>
        <w:rPr>
          <w:b/>
          <w:color w:val="000000"/>
          <w:sz w:val="28"/>
          <w:szCs w:val="28"/>
        </w:rPr>
      </w:pPr>
      <w:r>
        <w:rPr>
          <w:rFonts w:hint="eastAsia"/>
          <w:b/>
          <w:color w:val="000000"/>
          <w:sz w:val="28"/>
          <w:szCs w:val="28"/>
        </w:rPr>
        <w:t>（三）国有资产占用情况说明</w:t>
      </w:r>
    </w:p>
    <w:p>
      <w:pPr>
        <w:spacing w:after="0" w:line="500" w:lineRule="exact"/>
        <w:ind w:firstLine="560" w:firstLineChars="200"/>
        <w:rPr>
          <w:color w:val="000000"/>
          <w:sz w:val="28"/>
          <w:szCs w:val="28"/>
        </w:rPr>
      </w:pPr>
      <w:r>
        <w:rPr>
          <w:rFonts w:hint="eastAsia"/>
          <w:color w:val="000000"/>
          <w:sz w:val="28"/>
          <w:szCs w:val="28"/>
        </w:rPr>
        <w:t>（1）房屋情况</w:t>
      </w:r>
    </w:p>
    <w:p>
      <w:pPr>
        <w:spacing w:after="0" w:line="500" w:lineRule="exact"/>
        <w:ind w:firstLine="560" w:firstLineChars="200"/>
        <w:rPr>
          <w:color w:val="000000"/>
          <w:sz w:val="28"/>
          <w:szCs w:val="28"/>
        </w:rPr>
      </w:pPr>
      <w:r>
        <w:rPr>
          <w:rFonts w:hint="eastAsia"/>
          <w:color w:val="000000"/>
          <w:sz w:val="28"/>
          <w:szCs w:val="28"/>
        </w:rPr>
        <w:t>截至2021年12月31日，本部门共有房屋1518平方米，价值为78.81万元，其中办公用房1518平方米，价值为78.81万元；业务用房0平方米，价值为0万元；其他（不含构筑物）0平方米，价值为0万元。</w:t>
      </w:r>
    </w:p>
    <w:p>
      <w:pPr>
        <w:spacing w:after="0" w:line="500" w:lineRule="exact"/>
        <w:ind w:firstLine="560" w:firstLineChars="200"/>
        <w:rPr>
          <w:color w:val="000000"/>
          <w:sz w:val="28"/>
          <w:szCs w:val="28"/>
        </w:rPr>
      </w:pPr>
      <w:r>
        <w:rPr>
          <w:rFonts w:hint="eastAsia"/>
          <w:color w:val="000000"/>
          <w:sz w:val="28"/>
          <w:szCs w:val="28"/>
        </w:rPr>
        <w:t>（2）车辆及设备情况</w:t>
      </w:r>
    </w:p>
    <w:p>
      <w:pPr>
        <w:spacing w:after="0" w:line="500" w:lineRule="exact"/>
        <w:ind w:firstLine="560" w:firstLineChars="200"/>
        <w:rPr>
          <w:color w:val="000000"/>
          <w:sz w:val="28"/>
          <w:szCs w:val="28"/>
        </w:rPr>
      </w:pPr>
      <w:r>
        <w:rPr>
          <w:rFonts w:hint="eastAsia"/>
          <w:color w:val="000000"/>
          <w:sz w:val="28"/>
          <w:szCs w:val="28"/>
        </w:rPr>
        <w:t>截至2021年12月31日，本部门共有车辆2辆。其中，副部（省）级及以上领导用车0辆、主要领导干部用车0辆、机要通信用车0辆、应急保障用车0辆、执法执勤用车0辆、特种专业技术用车0辆、离退休干部用车0辆、其他用车2辆，其他用车主要是森林防火、汛期防汛和疫情防控下乡用车；单价50万元（含）以上的通用设备0台（套），单价100万元（含）以上专用设备0台（套）。</w:t>
      </w:r>
    </w:p>
    <w:p>
      <w:pPr>
        <w:spacing w:after="0" w:line="500" w:lineRule="exact"/>
        <w:ind w:firstLine="562" w:firstLineChars="200"/>
        <w:rPr>
          <w:b/>
          <w:color w:val="000000"/>
          <w:sz w:val="28"/>
          <w:szCs w:val="28"/>
        </w:rPr>
      </w:pPr>
      <w:r>
        <w:rPr>
          <w:rFonts w:hint="eastAsia"/>
          <w:b/>
          <w:color w:val="000000"/>
          <w:sz w:val="28"/>
          <w:szCs w:val="28"/>
        </w:rPr>
        <w:t>（四）预算绩效情况说明</w:t>
      </w:r>
    </w:p>
    <w:p>
      <w:pPr>
        <w:spacing w:after="0" w:line="500" w:lineRule="exact"/>
        <w:ind w:firstLine="562" w:firstLineChars="200"/>
        <w:rPr>
          <w:b/>
          <w:color w:val="000000"/>
          <w:sz w:val="28"/>
          <w:szCs w:val="28"/>
        </w:rPr>
      </w:pPr>
      <w:r>
        <w:rPr>
          <w:rFonts w:hint="eastAsia"/>
          <w:b/>
          <w:color w:val="000000"/>
          <w:sz w:val="28"/>
          <w:szCs w:val="28"/>
        </w:rPr>
        <w:t>（1）预算绩效管理工作开展情况。</w:t>
      </w:r>
    </w:p>
    <w:p>
      <w:pPr>
        <w:spacing w:after="0" w:line="500" w:lineRule="exact"/>
        <w:ind w:firstLine="560" w:firstLineChars="200"/>
        <w:rPr>
          <w:color w:val="000000"/>
          <w:sz w:val="28"/>
          <w:szCs w:val="28"/>
        </w:rPr>
      </w:pPr>
      <w:r>
        <w:rPr>
          <w:rFonts w:hint="eastAsia"/>
          <w:color w:val="000000"/>
          <w:sz w:val="28"/>
          <w:szCs w:val="28"/>
        </w:rPr>
        <w:t>根据预算绩效管理要求，我部门组织对2021年度县级财政预算安排的专项资金类6个项目支出全面开展绩效自评，涉及预算资金372.85万元，占一般公共预算项目支出总额的55.52%。组织对2021年度0个政府性基金预算项目支出开展绩效自评，共涉及预算资金0万元，占政府性基金预算项目支出总额的0%。</w:t>
      </w:r>
    </w:p>
    <w:p>
      <w:pPr>
        <w:spacing w:after="0" w:line="500" w:lineRule="exact"/>
        <w:ind w:firstLine="560" w:firstLineChars="200"/>
        <w:rPr>
          <w:sz w:val="28"/>
          <w:szCs w:val="28"/>
        </w:rPr>
      </w:pPr>
      <w:r>
        <w:rPr>
          <w:rFonts w:hint="eastAsia"/>
          <w:sz w:val="28"/>
          <w:szCs w:val="28"/>
        </w:rPr>
        <w:t>未对单位开展整体绩效评价试点。</w:t>
      </w:r>
    </w:p>
    <w:p>
      <w:pPr>
        <w:spacing w:after="0" w:line="500" w:lineRule="exact"/>
        <w:ind w:firstLine="562" w:firstLineChars="200"/>
        <w:rPr>
          <w:color w:val="000000"/>
          <w:sz w:val="28"/>
          <w:szCs w:val="28"/>
        </w:rPr>
      </w:pPr>
      <w:r>
        <w:rPr>
          <w:rFonts w:hint="eastAsia"/>
          <w:b/>
          <w:color w:val="000000"/>
          <w:sz w:val="28"/>
          <w:szCs w:val="28"/>
        </w:rPr>
        <w:t>（2）部门决算中项目绩效自评结果。</w:t>
      </w:r>
      <w:r>
        <w:rPr>
          <w:rFonts w:hint="eastAsia"/>
          <w:color w:val="000000"/>
          <w:sz w:val="28"/>
          <w:szCs w:val="28"/>
        </w:rPr>
        <w:t>2021年村级运转经费项目绩效自评综述：根据年初设定的绩效目标，项目自评得分为100分。全年预算数为278.05万元，执行数为278.05万元，完成预算的100%。项目绩效目标完成情况：一是村级转移支付包括村委会成员工资报酬、办公经费、村公益事业以及其他工作经费。二是为了规范村级转移支付资金使用管理，保障农村基层组织正常运转。</w:t>
      </w:r>
    </w:p>
    <w:p>
      <w:pPr>
        <w:pStyle w:val="2"/>
        <w:ind w:left="440"/>
      </w:pPr>
      <w:r>
        <w:drawing>
          <wp:inline distT="0" distB="0" distL="114300" distR="114300">
            <wp:extent cx="4806950" cy="9509125"/>
            <wp:effectExtent l="0" t="0" r="12700" b="15875"/>
            <wp:docPr id="5"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true"/>
                    </pic:cNvPicPr>
                  </pic:nvPicPr>
                  <pic:blipFill>
                    <a:blip r:embed="rId4" cstate="print"/>
                    <a:stretch>
                      <a:fillRect/>
                    </a:stretch>
                  </pic:blipFill>
                  <pic:spPr>
                    <a:xfrm>
                      <a:off x="0" y="0"/>
                      <a:ext cx="4806950" cy="9509125"/>
                    </a:xfrm>
                    <a:prstGeom prst="rect">
                      <a:avLst/>
                    </a:prstGeom>
                    <a:noFill/>
                    <a:ln>
                      <a:noFill/>
                    </a:ln>
                  </pic:spPr>
                </pic:pic>
              </a:graphicData>
            </a:graphic>
          </wp:inline>
        </w:drawing>
      </w:r>
    </w:p>
    <w:p>
      <w:pPr>
        <w:spacing w:after="0" w:line="500" w:lineRule="exact"/>
        <w:ind w:firstLine="560" w:firstLineChars="200"/>
        <w:rPr>
          <w:sz w:val="28"/>
          <w:szCs w:val="28"/>
        </w:rPr>
      </w:pPr>
      <w:r>
        <w:rPr>
          <w:rFonts w:hint="eastAsia"/>
          <w:color w:val="000000"/>
          <w:sz w:val="28"/>
          <w:szCs w:val="28"/>
        </w:rPr>
        <w:t>北社乡武装工作经费绩效自评综述：根据年初设定的绩效目标，项目自评得分为100分。全年预算数为2万元，执行数为2万元，完成预算的100%。项目绩效目标完成情况：</w:t>
      </w:r>
      <w:r>
        <w:rPr>
          <w:rFonts w:hint="eastAsia"/>
          <w:sz w:val="28"/>
          <w:szCs w:val="28"/>
        </w:rPr>
        <w:t>及时按需拨付经费，保障征兵及武装日常工作的正常开展，提高了服务对象满意度。</w:t>
      </w:r>
    </w:p>
    <w:p>
      <w:pPr>
        <w:pStyle w:val="2"/>
        <w:ind w:left="440"/>
      </w:pPr>
      <w:r>
        <w:drawing>
          <wp:inline distT="0" distB="0" distL="114300" distR="114300">
            <wp:extent cx="4084955" cy="6918325"/>
            <wp:effectExtent l="0" t="0" r="10795" b="15875"/>
            <wp:docPr id="4"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true"/>
                    </pic:cNvPicPr>
                  </pic:nvPicPr>
                  <pic:blipFill>
                    <a:blip r:embed="rId5" cstate="print"/>
                    <a:stretch>
                      <a:fillRect/>
                    </a:stretch>
                  </pic:blipFill>
                  <pic:spPr>
                    <a:xfrm>
                      <a:off x="0" y="0"/>
                      <a:ext cx="4084955" cy="6918325"/>
                    </a:xfrm>
                    <a:prstGeom prst="rect">
                      <a:avLst/>
                    </a:prstGeom>
                    <a:noFill/>
                    <a:ln>
                      <a:noFill/>
                    </a:ln>
                  </pic:spPr>
                </pic:pic>
              </a:graphicData>
            </a:graphic>
          </wp:inline>
        </w:drawing>
      </w:r>
    </w:p>
    <w:p>
      <w:pPr>
        <w:spacing w:after="0" w:line="500" w:lineRule="exact"/>
        <w:ind w:firstLine="440" w:firstLineChars="200"/>
        <w:rPr>
          <w:sz w:val="28"/>
          <w:szCs w:val="28"/>
        </w:rPr>
      </w:pPr>
      <w:r>
        <w:drawing>
          <wp:anchor distT="0" distB="0" distL="114300" distR="114300" simplePos="0" relativeHeight="251659264" behindDoc="0" locked="0" layoutInCell="1" allowOverlap="1">
            <wp:simplePos x="0" y="0"/>
            <wp:positionH relativeFrom="column">
              <wp:posOffset>95250</wp:posOffset>
            </wp:positionH>
            <wp:positionV relativeFrom="paragraph">
              <wp:posOffset>4832985</wp:posOffset>
            </wp:positionV>
            <wp:extent cx="4863465" cy="7890510"/>
            <wp:effectExtent l="0" t="0" r="13335" b="15240"/>
            <wp:wrapSquare wrapText="bothSides"/>
            <wp:docPr id="3"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true"/>
                    </pic:cNvPicPr>
                  </pic:nvPicPr>
                  <pic:blipFill>
                    <a:blip r:embed="rId6" cstate="print"/>
                    <a:stretch>
                      <a:fillRect/>
                    </a:stretch>
                  </pic:blipFill>
                  <pic:spPr>
                    <a:xfrm>
                      <a:off x="0" y="0"/>
                      <a:ext cx="4863465" cy="7890510"/>
                    </a:xfrm>
                    <a:prstGeom prst="rect">
                      <a:avLst/>
                    </a:prstGeom>
                    <a:noFill/>
                    <a:ln>
                      <a:noFill/>
                    </a:ln>
                  </pic:spPr>
                </pic:pic>
              </a:graphicData>
            </a:graphic>
          </wp:anchor>
        </w:drawing>
      </w:r>
      <w:r>
        <w:rPr>
          <w:rFonts w:hint="eastAsia"/>
          <w:color w:val="000000"/>
          <w:sz w:val="28"/>
          <w:szCs w:val="28"/>
        </w:rPr>
        <w:t>北社乡计划生育补助项目绩效自评综述：根据年初设定的绩效目标，项目自评得分为100分。全年预算数为3万元，执行数为3万元，完成预算的100%。项目绩效目标完成情况：</w:t>
      </w:r>
      <w:r>
        <w:rPr>
          <w:rFonts w:hint="eastAsia"/>
          <w:sz w:val="28"/>
          <w:szCs w:val="28"/>
        </w:rPr>
        <w:t>及时按需拨付经费，保障计划生育与服务站日常工作的正常开展，提高了服务对象满意。</w:t>
      </w:r>
    </w:p>
    <w:p>
      <w:pPr>
        <w:pStyle w:val="2"/>
        <w:ind w:left="440"/>
      </w:pPr>
    </w:p>
    <w:p>
      <w:pPr>
        <w:spacing w:after="0" w:line="500" w:lineRule="exact"/>
        <w:ind w:firstLine="560" w:firstLineChars="200"/>
      </w:pPr>
      <w:r>
        <w:rPr>
          <w:rFonts w:hint="eastAsia"/>
          <w:sz w:val="28"/>
          <w:szCs w:val="28"/>
        </w:rPr>
        <w:t>未发现其他问题。</w:t>
      </w:r>
    </w:p>
    <w:p>
      <w:pPr>
        <w:numPr>
          <w:ilvl w:val="0"/>
          <w:numId w:val="2"/>
        </w:numPr>
        <w:spacing w:after="0" w:line="500" w:lineRule="exact"/>
        <w:ind w:firstLine="562" w:firstLineChars="200"/>
        <w:rPr>
          <w:color w:val="000000"/>
          <w:sz w:val="28"/>
          <w:szCs w:val="28"/>
        </w:rPr>
      </w:pPr>
      <w:r>
        <w:rPr>
          <w:rFonts w:hint="eastAsia"/>
          <w:b/>
          <w:color w:val="000000"/>
          <w:sz w:val="28"/>
          <w:szCs w:val="28"/>
        </w:rPr>
        <w:t>部门评价项目绩效评价结果。</w:t>
      </w:r>
      <w:r>
        <w:rPr>
          <w:rFonts w:hint="eastAsia"/>
          <w:sz w:val="28"/>
          <w:szCs w:val="28"/>
        </w:rPr>
        <w:t>我单位未进行部门评价项目绩效评价</w:t>
      </w:r>
    </w:p>
    <w:p>
      <w:pPr>
        <w:spacing w:after="0" w:line="500" w:lineRule="exact"/>
        <w:ind w:firstLine="421" w:firstLineChars="150"/>
        <w:rPr>
          <w:b/>
          <w:color w:val="000000"/>
          <w:sz w:val="28"/>
          <w:szCs w:val="28"/>
        </w:rPr>
      </w:pPr>
      <w:r>
        <w:rPr>
          <w:rFonts w:hint="eastAsia"/>
          <w:b/>
          <w:color w:val="000000"/>
          <w:sz w:val="28"/>
          <w:szCs w:val="28"/>
        </w:rPr>
        <w:t>（五）其他需要说明的事项</w:t>
      </w:r>
    </w:p>
    <w:p>
      <w:pPr>
        <w:widowControl w:val="0"/>
        <w:adjustRightInd/>
        <w:snapToGrid/>
        <w:spacing w:line="460" w:lineRule="exact"/>
        <w:ind w:firstLine="636"/>
        <w:rPr>
          <w:rFonts w:ascii="微软雅黑" w:hAnsi="微软雅黑" w:cs="宋体"/>
          <w:color w:val="000000"/>
          <w:sz w:val="28"/>
          <w:szCs w:val="28"/>
        </w:rPr>
      </w:pPr>
      <w:r>
        <w:rPr>
          <w:rFonts w:hint="eastAsia" w:ascii="仿宋_GB2312" w:hAnsi="仿宋" w:eastAsia="仿宋_GB2312"/>
          <w:b/>
          <w:color w:val="000000"/>
          <w:sz w:val="32"/>
          <w:szCs w:val="32"/>
        </w:rPr>
        <w:t>1、培训费：</w:t>
      </w:r>
      <w:r>
        <w:rPr>
          <w:rFonts w:hint="eastAsia" w:ascii="微软雅黑" w:hAnsi="微软雅黑"/>
          <w:color w:val="000000"/>
          <w:sz w:val="28"/>
          <w:szCs w:val="28"/>
        </w:rPr>
        <w:t>全</w:t>
      </w:r>
      <w:r>
        <w:rPr>
          <w:rFonts w:ascii="微软雅黑" w:hAnsi="微软雅黑"/>
          <w:color w:val="000000"/>
          <w:sz w:val="28"/>
          <w:szCs w:val="28"/>
        </w:rPr>
        <w:t>年一般公共预算拨款安排的培训费决算</w:t>
      </w:r>
      <w:r>
        <w:rPr>
          <w:rFonts w:hint="eastAsia" w:ascii="微软雅黑" w:hAnsi="微软雅黑"/>
          <w:color w:val="000000"/>
          <w:sz w:val="28"/>
          <w:szCs w:val="28"/>
        </w:rPr>
        <w:t>年初预算0万元，支出决算</w:t>
      </w:r>
      <w:r>
        <w:rPr>
          <w:rFonts w:hint="eastAsia" w:ascii="微软雅黑" w:hAnsi="微软雅黑" w:cs="宋体"/>
          <w:color w:val="000000"/>
          <w:sz w:val="28"/>
          <w:szCs w:val="28"/>
        </w:rPr>
        <w:t>2.5</w:t>
      </w:r>
      <w:r>
        <w:rPr>
          <w:rFonts w:hint="eastAsia" w:ascii="微软雅黑" w:hAnsi="微软雅黑"/>
          <w:color w:val="000000"/>
          <w:sz w:val="28"/>
          <w:szCs w:val="28"/>
        </w:rPr>
        <w:t>万元，完成年初预算的100%，比上年增加</w:t>
      </w:r>
      <w:r>
        <w:rPr>
          <w:rFonts w:hint="eastAsia" w:ascii="微软雅黑" w:hAnsi="微软雅黑" w:cs="宋体"/>
          <w:color w:val="000000"/>
          <w:sz w:val="28"/>
          <w:szCs w:val="28"/>
        </w:rPr>
        <w:t>2.5</w:t>
      </w:r>
      <w:r>
        <w:rPr>
          <w:rFonts w:hint="eastAsia" w:ascii="微软雅黑" w:hAnsi="微软雅黑"/>
          <w:color w:val="000000"/>
          <w:sz w:val="28"/>
          <w:szCs w:val="28"/>
        </w:rPr>
        <w:t>万元，增长</w:t>
      </w:r>
      <w:r>
        <w:rPr>
          <w:rFonts w:hint="eastAsia" w:ascii="微软雅黑" w:hAnsi="微软雅黑" w:cs="宋体"/>
          <w:color w:val="000000"/>
          <w:sz w:val="28"/>
          <w:szCs w:val="28"/>
        </w:rPr>
        <w:t>100</w:t>
      </w:r>
      <w:r>
        <w:rPr>
          <w:rFonts w:hint="eastAsia" w:ascii="微软雅黑" w:hAnsi="微软雅黑"/>
          <w:color w:val="000000"/>
          <w:sz w:val="28"/>
          <w:szCs w:val="28"/>
        </w:rPr>
        <w:t>%，</w:t>
      </w:r>
      <w:r>
        <w:rPr>
          <w:rFonts w:hint="eastAsia" w:ascii="微软雅黑" w:hAnsi="微软雅黑" w:cs="宋体"/>
          <w:color w:val="000000"/>
          <w:sz w:val="28"/>
          <w:szCs w:val="28"/>
        </w:rPr>
        <w:t>原因是去年没有组织培训，今年组织乡村两级干部、第一书记、工作队培训两次，共计200余人次。</w:t>
      </w:r>
    </w:p>
    <w:tbl>
      <w:tblPr>
        <w:tblStyle w:val="14"/>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培训费</w:t>
            </w:r>
          </w:p>
        </w:tc>
        <w:tc>
          <w:tcPr>
            <w:tcW w:w="1559" w:type="dxa"/>
            <w:tcBorders>
              <w:top w:val="single" w:color="auto" w:sz="4" w:space="0"/>
              <w:left w:val="nil"/>
              <w:bottom w:val="single" w:color="auto" w:sz="4" w:space="0"/>
              <w:right w:val="single" w:color="auto" w:sz="4" w:space="0"/>
            </w:tcBorders>
            <w:vAlign w:val="center"/>
          </w:tcPr>
          <w:p>
            <w:pPr>
              <w:spacing w:after="0" w:line="500" w:lineRule="exact"/>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spacing w:after="0" w:line="500" w:lineRule="exact"/>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spacing w:after="0" w:line="500" w:lineRule="exact"/>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spacing w:after="0" w:line="500" w:lineRule="exact"/>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2.5</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2.5</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color w:val="000000"/>
              </w:rPr>
            </w:pPr>
            <w:r>
              <w:rPr>
                <w:rFonts w:hint="eastAsia" w:ascii="宋体" w:hAnsi="宋体" w:cs="宋体"/>
                <w:color w:val="000000"/>
              </w:rPr>
              <w:t>100</w:t>
            </w:r>
          </w:p>
        </w:tc>
      </w:tr>
    </w:tbl>
    <w:p>
      <w:pPr>
        <w:spacing w:after="0" w:line="500" w:lineRule="exact"/>
        <w:rPr>
          <w:rFonts w:ascii="仿宋_GB2312" w:hAnsi="楷体" w:eastAsia="仿宋_GB2312"/>
          <w:b/>
          <w:color w:val="000000"/>
          <w:sz w:val="32"/>
          <w:szCs w:val="32"/>
        </w:rPr>
      </w:pPr>
    </w:p>
    <w:p>
      <w:pPr>
        <w:spacing w:after="0" w:line="500" w:lineRule="exact"/>
        <w:ind w:firstLine="562" w:firstLineChars="200"/>
        <w:rPr>
          <w:rFonts w:ascii="微软雅黑" w:hAnsi="微软雅黑" w:cs="宋体"/>
          <w:color w:val="000000"/>
          <w:sz w:val="28"/>
          <w:szCs w:val="28"/>
        </w:rPr>
      </w:pPr>
      <w:r>
        <w:rPr>
          <w:rFonts w:hint="eastAsia" w:ascii="微软雅黑" w:hAnsi="微软雅黑"/>
          <w:b/>
          <w:color w:val="000000"/>
          <w:sz w:val="28"/>
          <w:szCs w:val="28"/>
        </w:rPr>
        <w:t>2、会议费：</w:t>
      </w:r>
      <w:r>
        <w:rPr>
          <w:rFonts w:hint="eastAsia" w:ascii="微软雅黑" w:hAnsi="微软雅黑"/>
          <w:color w:val="000000"/>
          <w:sz w:val="28"/>
          <w:szCs w:val="28"/>
        </w:rPr>
        <w:t>全年</w:t>
      </w:r>
      <w:r>
        <w:rPr>
          <w:rFonts w:ascii="微软雅黑" w:hAnsi="微软雅黑"/>
          <w:color w:val="000000"/>
          <w:sz w:val="28"/>
          <w:szCs w:val="28"/>
        </w:rPr>
        <w:t>一般公共预算拨款安排的会议费</w:t>
      </w:r>
      <w:r>
        <w:rPr>
          <w:rFonts w:hint="eastAsia" w:ascii="微软雅黑" w:hAnsi="微软雅黑"/>
          <w:color w:val="000000"/>
          <w:sz w:val="28"/>
          <w:szCs w:val="28"/>
        </w:rPr>
        <w:t>年初预算0万元，支出决算</w:t>
      </w:r>
      <w:r>
        <w:rPr>
          <w:rFonts w:hint="eastAsia" w:ascii="微软雅黑" w:hAnsi="微软雅黑" w:cs="宋体"/>
          <w:color w:val="000000"/>
          <w:sz w:val="28"/>
          <w:szCs w:val="28"/>
        </w:rPr>
        <w:t>0</w:t>
      </w:r>
      <w:r>
        <w:rPr>
          <w:rFonts w:hint="eastAsia" w:ascii="微软雅黑" w:hAnsi="微软雅黑"/>
          <w:color w:val="000000"/>
          <w:sz w:val="28"/>
          <w:szCs w:val="28"/>
        </w:rPr>
        <w:t>万元，完成年初预算的0%，比上年增加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%，原因是两年均未发生会议费支出</w:t>
      </w:r>
      <w:r>
        <w:rPr>
          <w:rFonts w:ascii="微软雅黑" w:hAnsi="微软雅黑"/>
          <w:color w:val="000000"/>
          <w:sz w:val="28"/>
          <w:szCs w:val="28"/>
        </w:rPr>
        <w:t>。20</w:t>
      </w:r>
      <w:r>
        <w:rPr>
          <w:rFonts w:hint="eastAsia" w:ascii="微软雅黑" w:hAnsi="微软雅黑"/>
          <w:color w:val="000000"/>
          <w:sz w:val="28"/>
          <w:szCs w:val="28"/>
        </w:rPr>
        <w:t>21</w:t>
      </w:r>
      <w:r>
        <w:rPr>
          <w:rFonts w:ascii="微软雅黑" w:hAnsi="微软雅黑"/>
          <w:color w:val="000000"/>
          <w:sz w:val="28"/>
          <w:szCs w:val="28"/>
        </w:rPr>
        <w:t>年度全年召开会议</w:t>
      </w:r>
      <w:r>
        <w:rPr>
          <w:rFonts w:hint="eastAsia" w:ascii="微软雅黑" w:hAnsi="微软雅黑"/>
          <w:color w:val="000000"/>
          <w:sz w:val="28"/>
          <w:szCs w:val="28"/>
        </w:rPr>
        <w:t>0</w:t>
      </w:r>
      <w:r>
        <w:rPr>
          <w:rFonts w:ascii="微软雅黑" w:hAnsi="微软雅黑"/>
          <w:color w:val="000000"/>
          <w:sz w:val="28"/>
          <w:szCs w:val="28"/>
        </w:rPr>
        <w:t>个，参加会议</w:t>
      </w:r>
      <w:r>
        <w:rPr>
          <w:rFonts w:hint="eastAsia" w:ascii="微软雅黑" w:hAnsi="微软雅黑"/>
          <w:color w:val="000000"/>
          <w:sz w:val="28"/>
          <w:szCs w:val="28"/>
        </w:rPr>
        <w:t>0</w:t>
      </w:r>
      <w:r>
        <w:rPr>
          <w:rFonts w:ascii="微软雅黑" w:hAnsi="微软雅黑"/>
          <w:color w:val="000000"/>
          <w:sz w:val="28"/>
          <w:szCs w:val="28"/>
        </w:rPr>
        <w:t>人次。</w:t>
      </w:r>
      <w:r>
        <w:rPr>
          <w:rFonts w:ascii="微软雅黑" w:hAnsi="微软雅黑"/>
          <w:sz w:val="28"/>
          <w:szCs w:val="28"/>
        </w:rPr>
        <w:t>主要为</w:t>
      </w:r>
      <w:r>
        <w:rPr>
          <w:rFonts w:hint="eastAsia" w:ascii="微软雅黑" w:hAnsi="微软雅黑"/>
          <w:sz w:val="28"/>
          <w:szCs w:val="28"/>
        </w:rPr>
        <w:t>本单位2021年度未召开大型会议</w:t>
      </w:r>
      <w:r>
        <w:rPr>
          <w:rFonts w:ascii="微软雅黑" w:hAnsi="微软雅黑"/>
          <w:color w:val="000000"/>
          <w:sz w:val="28"/>
          <w:szCs w:val="28"/>
        </w:rPr>
        <w:t>。</w:t>
      </w:r>
    </w:p>
    <w:tbl>
      <w:tblPr>
        <w:tblStyle w:val="14"/>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会议费</w:t>
            </w:r>
          </w:p>
        </w:tc>
        <w:tc>
          <w:tcPr>
            <w:tcW w:w="1559" w:type="dxa"/>
            <w:tcBorders>
              <w:top w:val="single" w:color="auto" w:sz="4" w:space="0"/>
              <w:left w:val="nil"/>
              <w:bottom w:val="single" w:color="auto" w:sz="4" w:space="0"/>
              <w:right w:val="single" w:color="auto" w:sz="4" w:space="0"/>
            </w:tcBorders>
            <w:vAlign w:val="center"/>
          </w:tcPr>
          <w:p>
            <w:pPr>
              <w:spacing w:after="0" w:line="500" w:lineRule="exact"/>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spacing w:after="0" w:line="500" w:lineRule="exact"/>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spacing w:after="0" w:line="500" w:lineRule="exact"/>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spacing w:after="0" w:line="500" w:lineRule="exact"/>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color w:val="000000"/>
              </w:rPr>
            </w:pPr>
            <w:r>
              <w:rPr>
                <w:rFonts w:hint="eastAsia" w:ascii="宋体" w:hAnsi="宋体" w:cs="宋体"/>
                <w:color w:val="000000"/>
              </w:rPr>
              <w:t>0</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500" w:lineRule="exact"/>
              <w:jc w:val="center"/>
              <w:rPr>
                <w:rFonts w:ascii="宋体" w:hAnsi="宋体" w:cs="宋体"/>
                <w:color w:val="000000"/>
              </w:rPr>
            </w:pPr>
            <w:r>
              <w:rPr>
                <w:rFonts w:hint="eastAsia" w:ascii="宋体" w:hAnsi="宋体" w:cs="宋体"/>
                <w:color w:val="000000"/>
              </w:rPr>
              <w:t>0</w:t>
            </w:r>
          </w:p>
        </w:tc>
      </w:tr>
    </w:tbl>
    <w:p>
      <w:pPr>
        <w:spacing w:after="0" w:line="500" w:lineRule="exact"/>
        <w:ind w:firstLine="636"/>
        <w:rPr>
          <w:rFonts w:ascii="仿宋_GB2312" w:hAnsi="仿宋" w:eastAsia="仿宋_GB2312"/>
          <w:color w:val="000000"/>
          <w:sz w:val="32"/>
          <w:szCs w:val="32"/>
        </w:rPr>
      </w:pPr>
    </w:p>
    <w:p>
      <w:pPr>
        <w:spacing w:after="0" w:line="500" w:lineRule="exact"/>
        <w:ind w:firstLine="481" w:firstLineChars="150"/>
        <w:rPr>
          <w:rFonts w:ascii="仿宋_GB2312" w:hAnsi="仿宋" w:eastAsia="仿宋_GB2312"/>
          <w:b/>
          <w:color w:val="000000"/>
          <w:sz w:val="32"/>
          <w:szCs w:val="32"/>
        </w:rPr>
      </w:pPr>
      <w:r>
        <w:rPr>
          <w:rFonts w:hint="eastAsia" w:ascii="仿宋_GB2312" w:hAnsi="仿宋" w:eastAsia="仿宋_GB2312"/>
          <w:b/>
          <w:color w:val="000000"/>
          <w:sz w:val="32"/>
          <w:szCs w:val="32"/>
        </w:rPr>
        <w:t>3、其他需要说明的事项</w:t>
      </w:r>
    </w:p>
    <w:p>
      <w:pPr>
        <w:spacing w:after="0" w:line="500" w:lineRule="exact"/>
        <w:ind w:firstLine="480" w:firstLineChars="150"/>
        <w:rPr>
          <w:rFonts w:ascii="仿宋_GB2312" w:hAnsi="仿宋" w:eastAsia="仿宋_GB2312"/>
          <w:color w:val="000000"/>
          <w:sz w:val="32"/>
          <w:szCs w:val="32"/>
        </w:rPr>
      </w:pPr>
      <w:r>
        <w:rPr>
          <w:rFonts w:hint="eastAsia" w:ascii="仿宋_GB2312" w:hAnsi="仿宋" w:eastAsia="仿宋_GB2312"/>
          <w:color w:val="000000"/>
          <w:sz w:val="32"/>
          <w:szCs w:val="32"/>
        </w:rPr>
        <w:t>我单位无其他需要说明的事项。</w:t>
      </w:r>
    </w:p>
    <w:p>
      <w:pPr>
        <w:spacing w:after="0" w:line="500" w:lineRule="exact"/>
        <w:rPr>
          <w:b/>
          <w:color w:val="000000"/>
          <w:sz w:val="28"/>
          <w:szCs w:val="28"/>
        </w:rPr>
      </w:pPr>
      <w:r>
        <w:rPr>
          <w:rFonts w:hint="eastAsia"/>
          <w:b/>
          <w:color w:val="000000"/>
          <w:sz w:val="28"/>
          <w:szCs w:val="28"/>
        </w:rPr>
        <w:t>第四部分 名词解释</w:t>
      </w:r>
    </w:p>
    <w:p>
      <w:pPr>
        <w:spacing w:after="0" w:line="500" w:lineRule="exact"/>
        <w:ind w:firstLine="562" w:firstLineChars="200"/>
        <w:rPr>
          <w:color w:val="000000"/>
          <w:sz w:val="28"/>
          <w:szCs w:val="28"/>
        </w:rPr>
      </w:pPr>
      <w:r>
        <w:rPr>
          <w:rFonts w:hint="eastAsia"/>
          <w:b/>
          <w:color w:val="000000"/>
          <w:sz w:val="28"/>
          <w:szCs w:val="28"/>
        </w:rPr>
        <w:t>一、财政拨款收入：</w:t>
      </w:r>
      <w:r>
        <w:rPr>
          <w:rFonts w:hint="eastAsia"/>
          <w:color w:val="000000"/>
          <w:sz w:val="28"/>
          <w:szCs w:val="28"/>
        </w:rPr>
        <w:t>指单位从同级财政部门取得的财政预算资金。</w:t>
      </w:r>
    </w:p>
    <w:p>
      <w:pPr>
        <w:spacing w:after="0" w:line="500" w:lineRule="exact"/>
        <w:ind w:firstLine="562" w:firstLineChars="200"/>
        <w:rPr>
          <w:color w:val="000000"/>
          <w:sz w:val="28"/>
          <w:szCs w:val="28"/>
        </w:rPr>
      </w:pPr>
      <w:r>
        <w:rPr>
          <w:rFonts w:hint="eastAsia"/>
          <w:b/>
          <w:color w:val="000000"/>
          <w:sz w:val="28"/>
          <w:szCs w:val="28"/>
        </w:rPr>
        <w:t>二、事业收入：</w:t>
      </w:r>
      <w:r>
        <w:rPr>
          <w:rFonts w:hint="eastAsia"/>
          <w:color w:val="000000"/>
          <w:sz w:val="28"/>
          <w:szCs w:val="28"/>
        </w:rPr>
        <w:t>指事业单位开展专业业务活动及辅助活动取得的收入。</w:t>
      </w:r>
    </w:p>
    <w:p>
      <w:pPr>
        <w:spacing w:after="0" w:line="500" w:lineRule="exact"/>
        <w:ind w:firstLine="562" w:firstLineChars="200"/>
        <w:rPr>
          <w:color w:val="000000"/>
          <w:sz w:val="28"/>
          <w:szCs w:val="28"/>
        </w:rPr>
      </w:pPr>
      <w:r>
        <w:rPr>
          <w:rFonts w:hint="eastAsia"/>
          <w:b/>
          <w:color w:val="000000"/>
          <w:sz w:val="28"/>
          <w:szCs w:val="28"/>
        </w:rPr>
        <w:t>三、经营收入：</w:t>
      </w:r>
      <w:r>
        <w:rPr>
          <w:rFonts w:hint="eastAsia"/>
          <w:color w:val="000000"/>
          <w:sz w:val="28"/>
          <w:szCs w:val="28"/>
        </w:rPr>
        <w:t>指事业单位在专业业务活动及其辅助活动之外开展非独立核算经营活动取得的收入。</w:t>
      </w:r>
    </w:p>
    <w:p>
      <w:pPr>
        <w:spacing w:after="0" w:line="500" w:lineRule="exact"/>
        <w:ind w:firstLine="562" w:firstLineChars="200"/>
        <w:rPr>
          <w:color w:val="000000"/>
          <w:sz w:val="28"/>
          <w:szCs w:val="28"/>
        </w:rPr>
      </w:pPr>
      <w:r>
        <w:rPr>
          <w:rFonts w:hint="eastAsia"/>
          <w:b/>
          <w:color w:val="000000"/>
          <w:sz w:val="28"/>
          <w:szCs w:val="28"/>
        </w:rPr>
        <w:t>四、其他收入：</w:t>
      </w:r>
      <w:r>
        <w:rPr>
          <w:rFonts w:hint="eastAsia"/>
          <w:color w:val="000000"/>
          <w:sz w:val="28"/>
          <w:szCs w:val="28"/>
        </w:rPr>
        <w:t>指单位取得的除上述收入以外的各项收入。主要是事业单位固定资产出租收入、存款利息收入等。</w:t>
      </w:r>
    </w:p>
    <w:p>
      <w:pPr>
        <w:spacing w:after="0" w:line="500" w:lineRule="exact"/>
        <w:ind w:firstLine="562" w:firstLineChars="200"/>
        <w:rPr>
          <w:color w:val="000000"/>
          <w:sz w:val="28"/>
          <w:szCs w:val="28"/>
        </w:rPr>
      </w:pPr>
      <w:r>
        <w:rPr>
          <w:rFonts w:hint="eastAsia"/>
          <w:b/>
          <w:color w:val="000000"/>
          <w:sz w:val="28"/>
          <w:szCs w:val="28"/>
        </w:rPr>
        <w:t>五、使用非财政拨款结余：</w:t>
      </w:r>
      <w:r>
        <w:rPr>
          <w:rFonts w:hint="eastAsia"/>
          <w:color w:val="000000"/>
          <w:sz w:val="28"/>
          <w:szCs w:val="28"/>
        </w:rPr>
        <w:t>指事业单位使用以前年度积累的非财政拨款结余弥补当年收支差额的金额。</w:t>
      </w:r>
    </w:p>
    <w:p>
      <w:pPr>
        <w:spacing w:after="0" w:line="500" w:lineRule="exact"/>
        <w:ind w:firstLine="562" w:firstLineChars="200"/>
        <w:rPr>
          <w:color w:val="000000"/>
          <w:sz w:val="28"/>
          <w:szCs w:val="28"/>
        </w:rPr>
      </w:pPr>
      <w:r>
        <w:rPr>
          <w:rFonts w:hint="eastAsia"/>
          <w:b/>
          <w:color w:val="000000"/>
          <w:sz w:val="28"/>
          <w:szCs w:val="28"/>
        </w:rPr>
        <w:t>六、年初结转和结余：</w:t>
      </w:r>
      <w:r>
        <w:rPr>
          <w:rFonts w:hint="eastAsia"/>
          <w:color w:val="000000"/>
          <w:sz w:val="28"/>
          <w:szCs w:val="28"/>
        </w:rPr>
        <w:t>指单位以前年度尚未完成、结转到本年仍按原规定用途继续使用的资金，或项目已完成等产生的结余资金。</w:t>
      </w:r>
    </w:p>
    <w:p>
      <w:pPr>
        <w:spacing w:after="0" w:line="500" w:lineRule="exact"/>
        <w:ind w:firstLine="562" w:firstLineChars="200"/>
        <w:rPr>
          <w:color w:val="000000"/>
          <w:sz w:val="28"/>
          <w:szCs w:val="28"/>
        </w:rPr>
      </w:pPr>
      <w:r>
        <w:rPr>
          <w:rFonts w:hint="eastAsia"/>
          <w:b/>
          <w:color w:val="000000"/>
          <w:sz w:val="28"/>
          <w:szCs w:val="28"/>
        </w:rPr>
        <w:t>七、结余分配：</w:t>
      </w:r>
      <w:r>
        <w:rPr>
          <w:rFonts w:hint="eastAsia"/>
          <w:color w:val="000000"/>
          <w:sz w:val="28"/>
          <w:szCs w:val="28"/>
        </w:rPr>
        <w:t>指事业单位按照会计制度规定缴纳的所得税、提取的专用结余以及转入非财政拨款结余的金额等。</w:t>
      </w:r>
    </w:p>
    <w:p>
      <w:pPr>
        <w:spacing w:after="0" w:line="500" w:lineRule="exact"/>
        <w:ind w:firstLine="562" w:firstLineChars="200"/>
        <w:rPr>
          <w:color w:val="000000"/>
          <w:sz w:val="28"/>
          <w:szCs w:val="28"/>
        </w:rPr>
      </w:pPr>
      <w:r>
        <w:rPr>
          <w:rFonts w:hint="eastAsia"/>
          <w:b/>
          <w:color w:val="000000"/>
          <w:sz w:val="28"/>
          <w:szCs w:val="28"/>
        </w:rPr>
        <w:t>八、年末结转和结余：</w:t>
      </w:r>
      <w:r>
        <w:rPr>
          <w:rFonts w:hint="eastAsia"/>
          <w:color w:val="000000"/>
          <w:sz w:val="28"/>
          <w:szCs w:val="28"/>
        </w:rPr>
        <w:t>指单位按有关规定结转到下年或以后年度继续使用的资金，或项目已完成等产生的结余资金。</w:t>
      </w:r>
    </w:p>
    <w:p>
      <w:pPr>
        <w:spacing w:after="0" w:line="500" w:lineRule="exact"/>
        <w:ind w:firstLine="562" w:firstLineChars="200"/>
        <w:rPr>
          <w:color w:val="000000"/>
          <w:sz w:val="28"/>
          <w:szCs w:val="28"/>
        </w:rPr>
      </w:pPr>
      <w:r>
        <w:rPr>
          <w:rFonts w:hint="eastAsia"/>
          <w:b/>
          <w:color w:val="000000"/>
          <w:sz w:val="28"/>
          <w:szCs w:val="28"/>
        </w:rPr>
        <w:t>九、基本支出：</w:t>
      </w:r>
      <w:r>
        <w:rPr>
          <w:rFonts w:hint="eastAsia"/>
          <w:color w:val="000000"/>
          <w:sz w:val="28"/>
          <w:szCs w:val="28"/>
        </w:rPr>
        <w:t>指为保障机构正常运转、完成日常工作任务而发生的人员支出和公用支出。</w:t>
      </w:r>
    </w:p>
    <w:p>
      <w:pPr>
        <w:spacing w:after="0" w:line="500" w:lineRule="exact"/>
        <w:ind w:firstLine="562" w:firstLineChars="200"/>
        <w:rPr>
          <w:color w:val="000000"/>
          <w:sz w:val="28"/>
          <w:szCs w:val="28"/>
        </w:rPr>
      </w:pPr>
      <w:r>
        <w:rPr>
          <w:rFonts w:hint="eastAsia"/>
          <w:b/>
          <w:color w:val="000000"/>
          <w:sz w:val="28"/>
          <w:szCs w:val="28"/>
        </w:rPr>
        <w:t>十、项目支出：</w:t>
      </w:r>
      <w:r>
        <w:rPr>
          <w:rFonts w:hint="eastAsia"/>
          <w:color w:val="000000"/>
          <w:sz w:val="28"/>
          <w:szCs w:val="28"/>
        </w:rPr>
        <w:t>指在基本支出之外为完成特定行政任务和事业发展目标所发生的支出。</w:t>
      </w:r>
    </w:p>
    <w:p>
      <w:pPr>
        <w:spacing w:after="0" w:line="500" w:lineRule="exact"/>
        <w:ind w:firstLine="562" w:firstLineChars="200"/>
        <w:rPr>
          <w:color w:val="000000"/>
          <w:sz w:val="28"/>
          <w:szCs w:val="28"/>
        </w:rPr>
      </w:pPr>
      <w:r>
        <w:rPr>
          <w:rFonts w:hint="eastAsia"/>
          <w:b/>
          <w:color w:val="000000"/>
          <w:sz w:val="28"/>
          <w:szCs w:val="28"/>
        </w:rPr>
        <w:t>十一、“三公”经费：</w:t>
      </w:r>
      <w:r>
        <w:rPr>
          <w:rFonts w:hint="eastAsia"/>
          <w:color w:val="000000"/>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after="0" w:line="500" w:lineRule="exact"/>
        <w:ind w:firstLine="562" w:firstLineChars="200"/>
        <w:rPr>
          <w:color w:val="000000"/>
          <w:sz w:val="28"/>
          <w:szCs w:val="28"/>
        </w:rPr>
      </w:pPr>
      <w:r>
        <w:rPr>
          <w:rFonts w:hint="eastAsia"/>
          <w:b/>
          <w:color w:val="000000"/>
          <w:sz w:val="28"/>
          <w:szCs w:val="28"/>
        </w:rPr>
        <w:t>十二、机关运行经费：</w:t>
      </w:r>
      <w:r>
        <w:rPr>
          <w:rFonts w:hint="eastAsia"/>
          <w:color w:val="000000"/>
          <w:sz w:val="28"/>
          <w:szCs w:val="28"/>
        </w:rPr>
        <w:t>指行政单位和参照公务员法管理的事业单位使用一般公共预算安排的基本支出中的日常公用经费支出。</w:t>
      </w:r>
    </w:p>
    <w:p>
      <w:pPr>
        <w:autoSpaceDE w:val="0"/>
        <w:autoSpaceDN w:val="0"/>
        <w:spacing w:after="0" w:line="500" w:lineRule="exact"/>
        <w:ind w:firstLine="562" w:firstLineChars="200"/>
        <w:rPr>
          <w:rFonts w:ascii="仿宋_GB2312" w:hAnsi="仿宋" w:eastAsia="仿宋_GB2312"/>
          <w:color w:val="000000"/>
          <w:sz w:val="32"/>
          <w:szCs w:val="32"/>
        </w:rPr>
      </w:pPr>
      <w:r>
        <w:rPr>
          <w:rFonts w:hint="eastAsia"/>
          <w:b/>
          <w:color w:val="000000"/>
          <w:sz w:val="28"/>
          <w:szCs w:val="28"/>
        </w:rPr>
        <w:t>十三、政府购买服务：</w:t>
      </w:r>
      <w:r>
        <w:rPr>
          <w:rFonts w:hint="eastAsia"/>
          <w:color w:val="000000"/>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spacing w:after="0" w:line="500" w:lineRule="exact"/>
        <w:ind w:firstLine="562" w:firstLineChars="200"/>
        <w:rPr>
          <w:rFonts w:ascii="仿宋_GB2312" w:hAnsi="仿宋" w:eastAsia="仿宋_GB2312"/>
          <w:color w:val="000000"/>
          <w:sz w:val="32"/>
          <w:szCs w:val="32"/>
        </w:rPr>
      </w:pPr>
      <w:r>
        <w:rPr>
          <w:rFonts w:hint="eastAsia"/>
          <w:b/>
          <w:color w:val="000000"/>
          <w:sz w:val="28"/>
          <w:szCs w:val="28"/>
        </w:rPr>
        <w:t>十四、</w:t>
      </w:r>
      <w:r>
        <w:rPr>
          <w:b/>
          <w:color w:val="000000"/>
          <w:sz w:val="28"/>
          <w:szCs w:val="28"/>
        </w:rPr>
        <w:t>人员经费</w:t>
      </w:r>
      <w:r>
        <w:rPr>
          <w:rFonts w:hint="eastAsia"/>
          <w:b/>
          <w:color w:val="000000"/>
          <w:sz w:val="28"/>
          <w:szCs w:val="28"/>
        </w:rPr>
        <w:t>：</w:t>
      </w:r>
      <w:r>
        <w:rPr>
          <w:color w:val="000000"/>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spacing w:after="0" w:line="500" w:lineRule="exact"/>
        <w:ind w:firstLine="562" w:firstLineChars="200"/>
        <w:rPr>
          <w:rFonts w:ascii="仿宋_GB2312" w:hAnsi="仿宋" w:eastAsia="仿宋_GB2312"/>
          <w:color w:val="000000"/>
          <w:sz w:val="32"/>
          <w:szCs w:val="32"/>
        </w:rPr>
      </w:pPr>
      <w:r>
        <w:rPr>
          <w:rFonts w:hint="eastAsia"/>
          <w:b/>
          <w:color w:val="000000"/>
          <w:sz w:val="28"/>
          <w:szCs w:val="28"/>
        </w:rPr>
        <w:t>十五、</w:t>
      </w:r>
      <w:r>
        <w:rPr>
          <w:b/>
          <w:color w:val="000000"/>
          <w:sz w:val="28"/>
          <w:szCs w:val="28"/>
        </w:rPr>
        <w:t>公用经费</w:t>
      </w:r>
      <w:r>
        <w:rPr>
          <w:rFonts w:hint="eastAsia"/>
          <w:b/>
          <w:color w:val="000000"/>
          <w:sz w:val="28"/>
          <w:szCs w:val="28"/>
        </w:rPr>
        <w:t>：</w:t>
      </w:r>
      <w:r>
        <w:rPr>
          <w:color w:val="000000"/>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after="0" w:line="500" w:lineRule="exact"/>
        <w:rPr>
          <w:color w:val="000000"/>
          <w:sz w:val="28"/>
          <w:szCs w:val="28"/>
        </w:rPr>
      </w:pPr>
      <w:r>
        <w:rPr>
          <w:rFonts w:hint="eastAsia"/>
          <w:b/>
          <w:color w:val="000000"/>
          <w:sz w:val="28"/>
          <w:szCs w:val="28"/>
        </w:rPr>
        <w:t>第五部分 附件</w:t>
      </w:r>
    </w:p>
    <w:p>
      <w:pPr>
        <w:spacing w:after="0" w:line="500" w:lineRule="exact"/>
        <w:rPr>
          <w:color w:val="000000"/>
          <w:sz w:val="28"/>
          <w:szCs w:val="28"/>
        </w:rPr>
        <w:sectPr>
          <w:pgSz w:w="11906" w:h="16838"/>
          <w:pgMar w:top="1440" w:right="1800" w:bottom="1440" w:left="1800" w:header="708" w:footer="708" w:gutter="0"/>
          <w:pgNumType w:start="1"/>
          <w:cols w:space="708" w:num="1"/>
          <w:docGrid w:linePitch="360" w:charSpace="0"/>
        </w:sectPr>
      </w:pPr>
      <w:r>
        <w:rPr>
          <w:rFonts w:hint="eastAsia"/>
          <w:color w:val="000000"/>
          <w:sz w:val="28"/>
          <w:szCs w:val="28"/>
        </w:rPr>
        <w:t xml:space="preserve">       我单位2021年度没有其他需要说明。</w:t>
      </w:r>
    </w:p>
    <w:p>
      <w:pPr>
        <w:spacing w:after="0" w:line="500" w:lineRule="exact"/>
        <w:rPr>
          <w:b/>
          <w:color w:val="000000"/>
          <w:sz w:val="28"/>
          <w:szCs w:val="28"/>
        </w:rPr>
      </w:pPr>
    </w:p>
    <w:p>
      <w:pPr>
        <w:pStyle w:val="2"/>
        <w:ind w:left="0" w:leftChars="0"/>
      </w:pPr>
    </w:p>
    <w:p/>
    <w:p>
      <w:pPr>
        <w:pStyle w:val="2"/>
        <w:ind w:left="440"/>
      </w:pPr>
    </w:p>
    <w:sectPr>
      <w:type w:val="continuous"/>
      <w:pgSz w:w="11906" w:h="16838"/>
      <w:pgMar w:top="1134" w:right="1800" w:bottom="1134" w:left="1800"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0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C5DDF"/>
    <w:multiLevelType w:val="singleLevel"/>
    <w:tmpl w:val="81AC5DDF"/>
    <w:lvl w:ilvl="0" w:tentative="0">
      <w:start w:val="3"/>
      <w:numFmt w:val="decimal"/>
      <w:suff w:val="nothing"/>
      <w:lvlText w:val="（%1）"/>
      <w:lvlJc w:val="left"/>
    </w:lvl>
  </w:abstractNum>
  <w:abstractNum w:abstractNumId="1">
    <w:nsid w:val="0F515B10"/>
    <w:multiLevelType w:val="singleLevel"/>
    <w:tmpl w:val="0F515B1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720"/>
  <w:noPunctuationKerning w:val="true"/>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MzU3MTY3M2FlMmMzMTU3MmM3YjNiZWFiZTY5ZjYifQ=="/>
  </w:docVars>
  <w:rsids>
    <w:rsidRoot w:val="009C5847"/>
    <w:rsid w:val="00456023"/>
    <w:rsid w:val="0053606F"/>
    <w:rsid w:val="00641893"/>
    <w:rsid w:val="009C5847"/>
    <w:rsid w:val="00C36B5B"/>
    <w:rsid w:val="00CB0737"/>
    <w:rsid w:val="00DC30EE"/>
    <w:rsid w:val="00DF3D75"/>
    <w:rsid w:val="1B6F45EB"/>
    <w:rsid w:val="270D4DE0"/>
    <w:rsid w:val="2DA71ECD"/>
    <w:rsid w:val="5A5359CF"/>
    <w:rsid w:val="5DD7EC18"/>
    <w:rsid w:val="5E105CE1"/>
    <w:rsid w:val="5FB07420"/>
    <w:rsid w:val="612260FC"/>
    <w:rsid w:val="66351EC2"/>
    <w:rsid w:val="6AEA7FC6"/>
    <w:rsid w:val="7D553A49"/>
    <w:rsid w:val="7E535414"/>
    <w:rsid w:val="7FFA22C6"/>
    <w:rsid w:val="BFBB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2"/>
    <w:basedOn w:val="1"/>
    <w:next w:val="1"/>
    <w:qFormat/>
    <w:uiPriority w:val="0"/>
    <w:pPr>
      <w:keepNext/>
      <w:keepLines/>
      <w:widowControl w:val="0"/>
      <w:spacing w:line="415" w:lineRule="auto"/>
      <w:outlineLvl w:val="1"/>
    </w:pPr>
    <w:rPr>
      <w:rFonts w:ascii="Cambria" w:hAnsi="Cambria" w:cs="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qFormat/>
    <w:uiPriority w:val="99"/>
    <w:pPr>
      <w:widowControl w:val="0"/>
      <w:spacing w:line="220" w:lineRule="atLeast"/>
      <w:ind w:left="420" w:leftChars="200"/>
      <w:jc w:val="both"/>
    </w:pPr>
    <w:rPr>
      <w:rFonts w:ascii="仿宋" w:hAnsi="仿宋" w:eastAsia="仿宋"/>
      <w:sz w:val="32"/>
      <w:szCs w:val="32"/>
    </w:rPr>
  </w:style>
  <w:style w:type="paragraph" w:styleId="4">
    <w:name w:val="Normal Indent"/>
    <w:basedOn w:val="1"/>
    <w:qFormat/>
    <w:uiPriority w:val="0"/>
    <w:pPr>
      <w:ind w:firstLine="420" w:firstLineChars="200"/>
    </w:pPr>
    <w:rPr>
      <w:rFonts w:ascii="Calibri" w:hAnsi="Calibri" w:eastAsia="宋体" w:cs="黑体"/>
    </w:rPr>
  </w:style>
  <w:style w:type="paragraph" w:styleId="5">
    <w:name w:val="Body Text"/>
    <w:basedOn w:val="1"/>
    <w:next w:val="6"/>
    <w:qFormat/>
    <w:uiPriority w:val="0"/>
    <w:pPr>
      <w:spacing w:after="140" w:line="276" w:lineRule="auto"/>
    </w:pPr>
  </w:style>
  <w:style w:type="paragraph" w:styleId="6">
    <w:name w:val="Body Text 2"/>
    <w:basedOn w:val="1"/>
    <w:qFormat/>
    <w:uiPriority w:val="0"/>
    <w:pPr>
      <w:spacing w:line="480" w:lineRule="auto"/>
    </w:pPr>
    <w:rPr>
      <w:rFonts w:ascii="Times New Roman" w:hAnsi="Times New Roman" w:eastAsia="宋体"/>
    </w:rPr>
  </w:style>
  <w:style w:type="paragraph" w:styleId="7">
    <w:name w:val="Body Text Indent"/>
    <w:basedOn w:val="1"/>
    <w:qFormat/>
    <w:uiPriority w:val="0"/>
    <w:pPr>
      <w:spacing w:line="570" w:lineRule="exact"/>
      <w:ind w:firstLine="616" w:firstLineChars="200"/>
    </w:pPr>
    <w:rPr>
      <w:rFonts w:ascii="Times New Roman" w:hAnsi="Times New Roman" w:eastAsia="宋体"/>
      <w:spacing w:val="-6"/>
    </w:rPr>
  </w:style>
  <w:style w:type="paragraph" w:styleId="8">
    <w:name w:val="Balloon Text"/>
    <w:basedOn w:val="1"/>
    <w:link w:val="20"/>
    <w:qFormat/>
    <w:uiPriority w:val="0"/>
    <w:pPr>
      <w:spacing w:after="0"/>
    </w:pPr>
    <w:rPr>
      <w:sz w:val="18"/>
      <w:szCs w:val="18"/>
    </w:rPr>
  </w:style>
  <w:style w:type="paragraph" w:styleId="9">
    <w:name w:val="footer"/>
    <w:basedOn w:val="1"/>
    <w:link w:val="17"/>
    <w:qFormat/>
    <w:uiPriority w:val="99"/>
    <w:pPr>
      <w:tabs>
        <w:tab w:val="center" w:pos="4153"/>
        <w:tab w:val="right" w:pos="8306"/>
      </w:tabs>
    </w:pPr>
    <w:rPr>
      <w:sz w:val="18"/>
      <w:szCs w:val="18"/>
    </w:rPr>
  </w:style>
  <w:style w:type="paragraph" w:styleId="10">
    <w:name w:val="header"/>
    <w:basedOn w:val="1"/>
    <w:link w:val="16"/>
    <w:qFormat/>
    <w:uiPriority w:val="99"/>
    <w:pPr>
      <w:pBdr>
        <w:bottom w:val="single" w:color="auto" w:sz="6" w:space="1"/>
      </w:pBdr>
      <w:tabs>
        <w:tab w:val="center" w:pos="4153"/>
        <w:tab w:val="right" w:pos="8306"/>
      </w:tabs>
      <w:jc w:val="center"/>
    </w:pPr>
    <w:rPr>
      <w:sz w:val="18"/>
      <w:szCs w:val="18"/>
    </w:rPr>
  </w:style>
  <w:style w:type="paragraph" w:styleId="11">
    <w:name w:val="Normal (Web)"/>
    <w:basedOn w:val="1"/>
    <w:qFormat/>
    <w:uiPriority w:val="0"/>
    <w:pPr>
      <w:spacing w:after="150"/>
    </w:pPr>
    <w:rPr>
      <w:sz w:val="24"/>
    </w:rPr>
  </w:style>
  <w:style w:type="paragraph" w:styleId="12">
    <w:name w:val="Body Text First Indent"/>
    <w:basedOn w:val="5"/>
    <w:next w:val="4"/>
    <w:qFormat/>
    <w:uiPriority w:val="0"/>
    <w:pPr>
      <w:ind w:firstLine="420"/>
    </w:pPr>
    <w:rPr>
      <w:rFonts w:ascii="Times New Roman" w:hAnsi="Times New Roman" w:eastAsia="宋体"/>
    </w:rPr>
  </w:style>
  <w:style w:type="paragraph" w:styleId="13">
    <w:name w:val="Body Text First Indent 2"/>
    <w:basedOn w:val="7"/>
    <w:next w:val="12"/>
    <w:qFormat/>
    <w:uiPriority w:val="0"/>
    <w:pPr>
      <w:ind w:firstLine="420"/>
    </w:pPr>
  </w:style>
  <w:style w:type="character" w:customStyle="1" w:styleId="16">
    <w:name w:val="页眉 Char"/>
    <w:basedOn w:val="15"/>
    <w:link w:val="10"/>
    <w:qFormat/>
    <w:uiPriority w:val="99"/>
    <w:rPr>
      <w:rFonts w:ascii="Tahoma" w:hAnsi="Tahoma"/>
      <w:sz w:val="18"/>
      <w:szCs w:val="18"/>
    </w:rPr>
  </w:style>
  <w:style w:type="character" w:customStyle="1" w:styleId="17">
    <w:name w:val="页脚 Char"/>
    <w:basedOn w:val="15"/>
    <w:link w:val="9"/>
    <w:qFormat/>
    <w:uiPriority w:val="99"/>
    <w:rPr>
      <w:rFonts w:ascii="Tahoma" w:hAnsi="Tahoma"/>
      <w:sz w:val="18"/>
      <w:szCs w:val="18"/>
    </w:rPr>
  </w:style>
  <w:style w:type="character" w:customStyle="1" w:styleId="18">
    <w:name w:val="font41"/>
    <w:basedOn w:val="15"/>
    <w:qFormat/>
    <w:uiPriority w:val="0"/>
    <w:rPr>
      <w:rFonts w:hint="eastAsia" w:ascii="宋体" w:hAnsi="宋体" w:eastAsia="宋体" w:cs="宋体"/>
      <w:color w:val="000000"/>
      <w:sz w:val="20"/>
      <w:szCs w:val="20"/>
      <w:u w:val="none"/>
    </w:rPr>
  </w:style>
  <w:style w:type="character" w:customStyle="1" w:styleId="19">
    <w:name w:val="font51"/>
    <w:basedOn w:val="15"/>
    <w:qFormat/>
    <w:uiPriority w:val="0"/>
    <w:rPr>
      <w:rFonts w:hint="eastAsia" w:ascii="宋体" w:hAnsi="宋体" w:eastAsia="宋体" w:cs="宋体"/>
      <w:color w:val="000000"/>
      <w:sz w:val="20"/>
      <w:szCs w:val="20"/>
      <w:u w:val="none"/>
    </w:rPr>
  </w:style>
  <w:style w:type="character" w:customStyle="1" w:styleId="20">
    <w:name w:val="批注框文本 Char"/>
    <w:basedOn w:val="15"/>
    <w:link w:val="8"/>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1664</Words>
  <Characters>9489</Characters>
  <Lines>79</Lines>
  <Paragraphs>22</Paragraphs>
  <TotalTime>7</TotalTime>
  <ScaleCrop>false</ScaleCrop>
  <LinksUpToDate>false</LinksUpToDate>
  <CharactersWithSpaces>11131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2022-05-16T09:49:00Z</dcterms:created>
  <dc:creator>Administrator</dc:creator>
  <cp:lastModifiedBy>user</cp:lastModifiedBy>
  <dcterms:modified xsi:type="dcterms:W3CDTF">2023-10-25T09:47:14Z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511A1C113B524B0E998D883E3E921B0C</vt:lpwstr>
  </property>
</Properties>
</file>