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附件</w:t>
      </w:r>
    </w:p>
    <w:p>
      <w:pPr>
        <w:spacing w:line="220" w:lineRule="atLeast"/>
        <w:jc w:val="center"/>
        <w:rPr>
          <w:color w:val="00B0F0"/>
        </w:rPr>
      </w:pPr>
      <w:bookmarkStart w:id="0" w:name="_GoBack"/>
      <w:r>
        <w:rPr>
          <w:rFonts w:hint="eastAsia"/>
          <w:b/>
          <w:sz w:val="32"/>
          <w:szCs w:val="32"/>
        </w:rPr>
        <w:t>706001平顺县残疾人联合会2021年度部门决算公开</w:t>
      </w:r>
    </w:p>
    <w:bookmarkEnd w:id="0"/>
    <w:p>
      <w:pPr>
        <w:spacing w:line="220" w:lineRule="atLeast"/>
        <w:jc w:val="center"/>
        <w:rPr>
          <w:b/>
          <w:color w:val="00B0F0"/>
        </w:rPr>
      </w:pPr>
      <w:r>
        <w:rPr>
          <w:rFonts w:hint="eastAsia"/>
          <w:b/>
          <w:sz w:val="28"/>
          <w:szCs w:val="28"/>
        </w:rPr>
        <w:t>目      录</w:t>
      </w:r>
    </w:p>
    <w:p>
      <w:pPr>
        <w:spacing w:line="220" w:lineRule="atLeast"/>
        <w:rPr>
          <w:rFonts w:ascii="微软雅黑" w:hAnsi="微软雅黑" w:cs="微软雅黑"/>
          <w:b/>
          <w:color w:val="00B0F0"/>
          <w:sz w:val="28"/>
          <w:szCs w:val="28"/>
        </w:rPr>
      </w:pPr>
      <w:r>
        <w:rPr>
          <w:rFonts w:hint="eastAsia"/>
          <w:b/>
          <w:sz w:val="28"/>
          <w:szCs w:val="28"/>
        </w:rPr>
        <w:t>第一部分    概况</w:t>
      </w:r>
    </w:p>
    <w:p>
      <w:pPr>
        <w:spacing w:line="220" w:lineRule="atLeast"/>
        <w:rPr>
          <w:sz w:val="28"/>
          <w:szCs w:val="28"/>
        </w:rPr>
      </w:pPr>
      <w:r>
        <w:rPr>
          <w:rFonts w:hint="eastAsia"/>
          <w:sz w:val="28"/>
          <w:szCs w:val="28"/>
        </w:rPr>
        <w:t>一、本部门职责</w:t>
      </w:r>
    </w:p>
    <w:p>
      <w:pPr>
        <w:spacing w:line="220" w:lineRule="atLeast"/>
        <w:rPr>
          <w:sz w:val="28"/>
          <w:szCs w:val="28"/>
        </w:rPr>
      </w:pPr>
      <w:r>
        <w:rPr>
          <w:rFonts w:hint="eastAsia"/>
          <w:sz w:val="28"/>
          <w:szCs w:val="28"/>
        </w:rPr>
        <w:t>二、机构设置情况</w:t>
      </w:r>
    </w:p>
    <w:p>
      <w:pPr>
        <w:rPr>
          <w:color w:val="00B0F0"/>
          <w:sz w:val="28"/>
          <w:szCs w:val="28"/>
        </w:rPr>
      </w:pPr>
      <w:r>
        <w:rPr>
          <w:rFonts w:hint="eastAsia"/>
          <w:sz w:val="28"/>
          <w:szCs w:val="28"/>
        </w:rPr>
        <w:t>三、年度工作计划及执行情况</w:t>
      </w:r>
    </w:p>
    <w:p>
      <w:pPr>
        <w:spacing w:line="220" w:lineRule="atLeast"/>
        <w:rPr>
          <w:b/>
          <w:color w:val="00B0F0"/>
          <w:sz w:val="28"/>
          <w:szCs w:val="28"/>
        </w:rPr>
      </w:pPr>
      <w:r>
        <w:rPr>
          <w:rFonts w:hint="eastAsia"/>
          <w:b/>
          <w:sz w:val="28"/>
          <w:szCs w:val="28"/>
        </w:rPr>
        <w:t>第二部分    2021年度部门决算报表</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九、国有资本经营预算财政拨款支出决算表</w:t>
      </w:r>
    </w:p>
    <w:p>
      <w:pPr>
        <w:spacing w:line="220" w:lineRule="atLeast"/>
        <w:rPr>
          <w:rFonts w:hint="eastAsia"/>
          <w:sz w:val="28"/>
          <w:szCs w:val="28"/>
        </w:rPr>
      </w:pPr>
      <w:r>
        <w:rPr>
          <w:rFonts w:hint="eastAsia"/>
          <w:sz w:val="28"/>
          <w:szCs w:val="28"/>
        </w:rPr>
        <w:t>十、部门决算公开相关信息统计表</w:t>
      </w:r>
    </w:p>
    <w:p>
      <w:pPr>
        <w:pStyle w:val="3"/>
        <w:rPr>
          <w:b w:val="0"/>
          <w:color w:val="FF0000"/>
          <w:szCs w:val="28"/>
        </w:rPr>
      </w:pPr>
    </w:p>
    <w:p>
      <w:pPr>
        <w:spacing w:line="220" w:lineRule="atLeast"/>
        <w:rPr>
          <w:b/>
          <w:sz w:val="28"/>
          <w:szCs w:val="28"/>
        </w:rPr>
      </w:pPr>
      <w:r>
        <w:rPr>
          <w:rFonts w:hint="eastAsia"/>
          <w:b/>
          <w:sz w:val="28"/>
          <w:szCs w:val="28"/>
        </w:rPr>
        <w:t>第三部分   2021年度部门决算情况说明</w:t>
      </w:r>
    </w:p>
    <w:p>
      <w:pPr>
        <w:spacing w:line="220" w:lineRule="atLeast"/>
        <w:rPr>
          <w:color w:val="00B0F0"/>
          <w:sz w:val="28"/>
          <w:szCs w:val="28"/>
        </w:rPr>
      </w:pPr>
      <w:r>
        <w:rPr>
          <w:rFonts w:hint="eastAsia"/>
          <w:sz w:val="28"/>
          <w:szCs w:val="28"/>
        </w:rPr>
        <w:t>一、收入支出决算总体情况说明</w:t>
      </w:r>
    </w:p>
    <w:p>
      <w:pPr>
        <w:spacing w:line="220" w:lineRule="atLeast"/>
        <w:rPr>
          <w:sz w:val="28"/>
          <w:szCs w:val="28"/>
        </w:rPr>
      </w:pPr>
      <w:r>
        <w:rPr>
          <w:rFonts w:hint="eastAsia"/>
          <w:sz w:val="28"/>
          <w:szCs w:val="28"/>
        </w:rPr>
        <w:t>二、收入决算情况说明</w:t>
      </w:r>
    </w:p>
    <w:p>
      <w:pPr>
        <w:spacing w:line="220" w:lineRule="atLeast"/>
        <w:rPr>
          <w:sz w:val="28"/>
          <w:szCs w:val="28"/>
        </w:rPr>
      </w:pPr>
      <w:r>
        <w:rPr>
          <w:rFonts w:hint="eastAsia"/>
          <w:sz w:val="28"/>
          <w:szCs w:val="28"/>
        </w:rPr>
        <w:t>三、支出决算情况说明</w:t>
      </w:r>
    </w:p>
    <w:p>
      <w:pPr>
        <w:spacing w:line="220" w:lineRule="atLeast"/>
        <w:rPr>
          <w:sz w:val="28"/>
          <w:szCs w:val="28"/>
        </w:rPr>
      </w:pPr>
      <w:r>
        <w:rPr>
          <w:rFonts w:hint="eastAsia"/>
          <w:sz w:val="28"/>
          <w:szCs w:val="28"/>
        </w:rPr>
        <w:t>四、财政拨款收入支出决算总体情况说明</w:t>
      </w:r>
    </w:p>
    <w:p>
      <w:pPr>
        <w:spacing w:line="220" w:lineRule="atLeast"/>
        <w:rPr>
          <w:sz w:val="28"/>
          <w:szCs w:val="28"/>
        </w:rPr>
      </w:pPr>
      <w:r>
        <w:rPr>
          <w:rFonts w:hint="eastAsia"/>
          <w:sz w:val="28"/>
          <w:szCs w:val="28"/>
        </w:rPr>
        <w:t>五、一般公共预算财政拨款支出决算情况说明</w:t>
      </w:r>
    </w:p>
    <w:p>
      <w:pPr>
        <w:spacing w:line="220" w:lineRule="atLeast"/>
        <w:rPr>
          <w:sz w:val="28"/>
          <w:szCs w:val="28"/>
        </w:rPr>
      </w:pPr>
      <w:r>
        <w:rPr>
          <w:rFonts w:hint="eastAsia"/>
          <w:sz w:val="28"/>
          <w:szCs w:val="28"/>
        </w:rPr>
        <w:t>六、一般公共预算财政拨款基本支出决算情况说明</w:t>
      </w:r>
    </w:p>
    <w:p>
      <w:pPr>
        <w:spacing w:line="220" w:lineRule="atLeast"/>
        <w:rPr>
          <w:sz w:val="28"/>
          <w:szCs w:val="28"/>
        </w:rPr>
      </w:pPr>
      <w:r>
        <w:rPr>
          <w:rFonts w:hint="eastAsia"/>
          <w:sz w:val="28"/>
          <w:szCs w:val="28"/>
        </w:rPr>
        <w:t>七、一般公共预算财政拨款“三公”经费支出决算情况说明</w:t>
      </w:r>
    </w:p>
    <w:p>
      <w:pPr>
        <w:spacing w:line="220" w:lineRule="atLeast"/>
        <w:rPr>
          <w:sz w:val="28"/>
          <w:szCs w:val="28"/>
        </w:rPr>
      </w:pPr>
      <w:r>
        <w:rPr>
          <w:rFonts w:hint="eastAsia"/>
          <w:sz w:val="28"/>
          <w:szCs w:val="28"/>
        </w:rPr>
        <w:t>八、其他重要事项情况说明</w:t>
      </w:r>
    </w:p>
    <w:p>
      <w:pPr>
        <w:spacing w:line="220" w:lineRule="atLeast"/>
        <w:rPr>
          <w:b/>
          <w:sz w:val="28"/>
          <w:szCs w:val="28"/>
        </w:rPr>
      </w:pPr>
      <w:r>
        <w:rPr>
          <w:rFonts w:hint="eastAsia"/>
          <w:b/>
          <w:sz w:val="28"/>
          <w:szCs w:val="28"/>
        </w:rPr>
        <w:t>第四部分    名词解释</w:t>
      </w:r>
    </w:p>
    <w:p>
      <w:pPr>
        <w:spacing w:line="220" w:lineRule="atLeast"/>
        <w:rPr>
          <w:b/>
          <w:color w:val="00B0F0"/>
          <w:sz w:val="28"/>
          <w:szCs w:val="28"/>
        </w:rPr>
      </w:pPr>
      <w:r>
        <w:rPr>
          <w:rFonts w:hint="eastAsia"/>
          <w:b/>
          <w:sz w:val="28"/>
          <w:szCs w:val="28"/>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sectPr>
          <w:pgSz w:w="11906" w:h="16838"/>
          <w:pgMar w:top="1440" w:right="1800" w:bottom="1440" w:left="1800" w:header="708" w:footer="708" w:gutter="0"/>
          <w:pgNumType w:start="1"/>
          <w:cols w:space="708" w:num="1"/>
          <w:docGrid w:linePitch="360" w:charSpace="0"/>
        </w:sectPr>
      </w:pPr>
    </w:p>
    <w:p>
      <w:pPr>
        <w:spacing w:line="220" w:lineRule="atLeast"/>
        <w:rPr>
          <w:b/>
          <w:sz w:val="28"/>
          <w:szCs w:val="28"/>
        </w:rPr>
      </w:pPr>
      <w:r>
        <w:rPr>
          <w:rFonts w:hint="eastAsia"/>
          <w:b/>
          <w:sz w:val="28"/>
          <w:szCs w:val="28"/>
        </w:rPr>
        <w:t>第一部分概况</w:t>
      </w:r>
    </w:p>
    <w:p>
      <w:pPr>
        <w:spacing w:line="220" w:lineRule="atLeast"/>
        <w:rPr>
          <w:sz w:val="28"/>
          <w:szCs w:val="28"/>
        </w:rPr>
      </w:pPr>
      <w:r>
        <w:rPr>
          <w:rFonts w:hint="eastAsia"/>
          <w:sz w:val="28"/>
          <w:szCs w:val="28"/>
        </w:rPr>
        <w:t>一、本部门职责</w:t>
      </w:r>
    </w:p>
    <w:p>
      <w:pPr>
        <w:spacing w:line="220" w:lineRule="atLeast"/>
        <w:ind w:firstLine="560" w:firstLineChars="200"/>
        <w:rPr>
          <w:sz w:val="28"/>
          <w:szCs w:val="28"/>
        </w:rPr>
      </w:pPr>
      <w:r>
        <w:rPr>
          <w:rFonts w:hint="eastAsia"/>
          <w:sz w:val="28"/>
          <w:szCs w:val="28"/>
        </w:rPr>
        <w:t>（一）听取残疾人意见，反映残疾人需求，维护残疾人权益，为残疾人服务。</w:t>
      </w:r>
    </w:p>
    <w:p>
      <w:pPr>
        <w:spacing w:line="220" w:lineRule="atLeast"/>
        <w:ind w:firstLine="560" w:firstLineChars="200"/>
        <w:rPr>
          <w:sz w:val="28"/>
          <w:szCs w:val="28"/>
        </w:rPr>
      </w:pPr>
      <w:r>
        <w:rPr>
          <w:rFonts w:hint="eastAsia"/>
          <w:sz w:val="28"/>
          <w:szCs w:val="28"/>
        </w:rPr>
        <w:t>（二）团结、教育残疾人，遵守法律，履行应尽的义务，发扬乐观进取精神，自尊、自信、自强、自立，为社会主义建设贡献力量。</w:t>
      </w:r>
    </w:p>
    <w:p>
      <w:pPr>
        <w:spacing w:line="220" w:lineRule="atLeast"/>
        <w:ind w:firstLine="560" w:firstLineChars="200"/>
        <w:rPr>
          <w:sz w:val="28"/>
          <w:szCs w:val="28"/>
        </w:rPr>
      </w:pPr>
      <w:r>
        <w:rPr>
          <w:rFonts w:hint="eastAsia"/>
          <w:sz w:val="28"/>
          <w:szCs w:val="28"/>
        </w:rPr>
        <w:t>（三）弘扬人道主义，宣传残疾人事业，沟通政府、社会与残疾人之间的联系，动员社会理解、尊重、关心、帮助残疾人。</w:t>
      </w:r>
    </w:p>
    <w:p>
      <w:pPr>
        <w:spacing w:line="220" w:lineRule="atLeast"/>
        <w:ind w:firstLine="560" w:firstLineChars="200"/>
        <w:rPr>
          <w:sz w:val="28"/>
          <w:szCs w:val="28"/>
        </w:rPr>
      </w:pPr>
      <w:r>
        <w:rPr>
          <w:rFonts w:hint="eastAsia"/>
          <w:sz w:val="28"/>
          <w:szCs w:val="28"/>
        </w:rPr>
        <w:t>（四）开展残疾人康复、教育、扶贫、劳动就业、文化、体育、科研、用品供应、福利、社会服务、无障碍设施和残疾预防工作，创造良好的环境和条件，扶助残疾人平等充分地参与社会生活。</w:t>
      </w:r>
    </w:p>
    <w:p>
      <w:pPr>
        <w:spacing w:line="220" w:lineRule="atLeast"/>
        <w:ind w:firstLine="560" w:firstLineChars="200"/>
        <w:rPr>
          <w:sz w:val="28"/>
          <w:szCs w:val="28"/>
        </w:rPr>
      </w:pPr>
      <w:r>
        <w:rPr>
          <w:rFonts w:hint="eastAsia"/>
          <w:sz w:val="28"/>
          <w:szCs w:val="28"/>
        </w:rPr>
        <w:t>（五）协助政府研究、制定和实施残疾人事业的政策、规划和计划，对有关业务领域进行指导和管理，协调有关部门为残疾人提供法律援助。</w:t>
      </w:r>
    </w:p>
    <w:p>
      <w:pPr>
        <w:spacing w:line="220" w:lineRule="atLeast"/>
        <w:ind w:firstLine="560" w:firstLineChars="200"/>
        <w:rPr>
          <w:sz w:val="28"/>
          <w:szCs w:val="28"/>
        </w:rPr>
      </w:pPr>
      <w:r>
        <w:rPr>
          <w:rFonts w:hint="eastAsia"/>
          <w:sz w:val="28"/>
          <w:szCs w:val="28"/>
        </w:rPr>
        <w:t>（六）承担县政府残疾人工作协调委员会的日常工作，做好综合、组织、协调和服务。</w:t>
      </w:r>
    </w:p>
    <w:p>
      <w:pPr>
        <w:spacing w:line="220" w:lineRule="atLeast"/>
        <w:ind w:firstLine="560" w:firstLineChars="200"/>
        <w:rPr>
          <w:sz w:val="28"/>
          <w:szCs w:val="28"/>
        </w:rPr>
      </w:pPr>
      <w:r>
        <w:rPr>
          <w:rFonts w:hint="eastAsia"/>
          <w:sz w:val="28"/>
          <w:szCs w:val="28"/>
        </w:rPr>
        <w:t>（七）指导和按规定管理各类残疾人社团组织。</w:t>
      </w:r>
    </w:p>
    <w:p>
      <w:pPr>
        <w:spacing w:line="220" w:lineRule="atLeast"/>
        <w:ind w:firstLine="560" w:firstLineChars="200"/>
        <w:rPr>
          <w:sz w:val="28"/>
          <w:szCs w:val="28"/>
        </w:rPr>
      </w:pPr>
      <w:r>
        <w:rPr>
          <w:rFonts w:hint="eastAsia"/>
          <w:sz w:val="28"/>
          <w:szCs w:val="28"/>
        </w:rPr>
        <w:t>（八）承担县委、县政府交办的其他事项。</w:t>
      </w:r>
    </w:p>
    <w:p>
      <w:pPr>
        <w:spacing w:line="220" w:lineRule="atLeast"/>
        <w:rPr>
          <w:sz w:val="28"/>
          <w:szCs w:val="28"/>
        </w:rPr>
      </w:pPr>
      <w:r>
        <w:rPr>
          <w:rFonts w:hint="eastAsia"/>
          <w:sz w:val="28"/>
          <w:szCs w:val="28"/>
        </w:rPr>
        <w:t>二、机构设置情况</w:t>
      </w:r>
    </w:p>
    <w:p>
      <w:pPr>
        <w:ind w:firstLine="560" w:firstLineChars="200"/>
        <w:rPr>
          <w:rFonts w:ascii="仿宋_GB2312" w:hAnsi="楷体" w:eastAsia="仿宋_GB2312"/>
          <w:color w:val="FF0000"/>
          <w:sz w:val="28"/>
          <w:szCs w:val="28"/>
        </w:rPr>
      </w:pPr>
      <w:r>
        <w:rPr>
          <w:rFonts w:hint="eastAsia"/>
          <w:sz w:val="28"/>
          <w:szCs w:val="28"/>
        </w:rPr>
        <w:t>1. 根据部门职责分工，本部门内设机构包括综合办公室、组联股、宣文股、维权股、教育就业股、康复股 。本部门下属单位包括：平顺县残疾人就业服务中心。</w:t>
      </w:r>
    </w:p>
    <w:p>
      <w:pPr>
        <w:spacing w:line="220" w:lineRule="atLeast"/>
        <w:ind w:firstLine="560" w:firstLineChars="200"/>
        <w:rPr>
          <w:sz w:val="28"/>
          <w:szCs w:val="28"/>
        </w:rPr>
      </w:pPr>
      <w:r>
        <w:rPr>
          <w:rFonts w:hint="eastAsia"/>
          <w:sz w:val="28"/>
          <w:szCs w:val="28"/>
        </w:rPr>
        <w:t>2. 从决算单位构成看，纳入平顺县残疾人联合会部门2021年部门汇总决算编制范围的预算单位共计1家，为平顺县残疾人联合会部门本级。</w:t>
      </w:r>
    </w:p>
    <w:p>
      <w:pPr>
        <w:rPr>
          <w:rFonts w:ascii="仿宋_GB2312" w:hAnsi="楷体" w:eastAsia="仿宋_GB2312"/>
          <w:sz w:val="28"/>
          <w:szCs w:val="28"/>
        </w:rPr>
      </w:pPr>
      <w:r>
        <w:rPr>
          <w:rFonts w:hint="eastAsia"/>
          <w:sz w:val="28"/>
          <w:szCs w:val="28"/>
        </w:rPr>
        <w:t>三、年度工作计划及执行情况</w:t>
      </w:r>
    </w:p>
    <w:p>
      <w:pPr>
        <w:spacing w:line="220" w:lineRule="atLeast"/>
        <w:ind w:firstLine="560" w:firstLineChars="200"/>
        <w:rPr>
          <w:sz w:val="28"/>
          <w:szCs w:val="28"/>
        </w:rPr>
      </w:pPr>
      <w:r>
        <w:rPr>
          <w:rFonts w:hint="eastAsia"/>
          <w:sz w:val="28"/>
          <w:szCs w:val="28"/>
        </w:rPr>
        <w:t>（一）坚持“三大建设”，推进全面从严治党。加强思想政治建设，抓牢残联队伍学习教育，深入学习贯彻习近平新时代中国特色社会主义思想，认真学习贯彻</w:t>
      </w:r>
      <w:r>
        <w:rPr>
          <w:rFonts w:hint="eastAsia"/>
          <w:sz w:val="28"/>
          <w:szCs w:val="28"/>
          <w:lang w:eastAsia="zh-CN"/>
        </w:rPr>
        <w:t>习近平总书记在庆祝中国共产党成立100周年大会上的重要讲话精神</w:t>
      </w:r>
      <w:r>
        <w:rPr>
          <w:rFonts w:hint="eastAsia"/>
          <w:sz w:val="28"/>
          <w:szCs w:val="28"/>
        </w:rPr>
        <w:t>，深入贯彻落实党的十九届六中全会精神，将党史学习教育贯穿全年；加强制度建设，建立完善党建长效机制，坚持党建工作与业务工作同谋划、同部署、同推进、同考核，认真履行“两个责任”和“一岗双责”；加强组织能力建设，切实践行先锋引领行动，组织全体残联干部开展入户大走访、大调研、大帮扶活动，广泛动员各乡（镇）残联理事、村（社区）残协参与,党员干部共为残疾人家庭办实事好事160余件，进一步将党史学习教育成果落到实处。</w:t>
      </w:r>
    </w:p>
    <w:p>
      <w:pPr>
        <w:spacing w:line="220" w:lineRule="atLeast"/>
        <w:ind w:firstLine="560" w:firstLineChars="200"/>
        <w:rPr>
          <w:sz w:val="28"/>
          <w:szCs w:val="28"/>
        </w:rPr>
      </w:pPr>
      <w:r>
        <w:rPr>
          <w:rFonts w:hint="eastAsia"/>
          <w:sz w:val="28"/>
          <w:szCs w:val="28"/>
        </w:rPr>
        <w:t>（二）紧盯“五大服务”，目标任务圆满完成。一是加大残疾人产业发展服务，有力促进稳岗就业。开展助残帮扶项目，帮助20户残疾人发展种植、养殖、电商等产业项目，帮助残疾人家庭稳定增收；加大对23名残疾人自主创业扶持，落实专项资金5万元；人人持证技能社会新增培训34人。二是深入推进康复服务，残疾人康复质量不断提高。组织实施残疾人家庭医生签约服务800人；认真贯彻落实残疾儿童康复救助制度，实施残疾儿童抢救性康复服务项目完成20名；为209名有需求的残疾人适配辅助器具305件。三是巩固优化政策帮扶服务，社会兜底保障水平提升。30名残疾人享受到省彩票公益金残疾人托养项目服务，落实专项资金12万元；投入22万元为50户困难残疾人实施家庭无障碍改造，为7名残疾人发放机动车燃油补贴1820元。四是提高残疾人精神文化服务，弘扬扶残助残正能量。在助残日期间，联合县特殊教育学校举办“庆祝中国共产党成立100周年暨第三十一次全国助残日主题活动”，营造起扶残助残的良好氛围，借助残疾预防日、国家宪法日等宣传节点，宣传发放《中华人民共和国残疾人保障法》、《山西省残疾人保障条例》以及相关扶残助残政策资料1000余份，极大提高了残疾人群体的社会参与度；4月份在山西省第六届特殊奥林匹克运动会上，我县残疾人在乒乓球项目、男子足球项目荣获1金1银的好成绩；10月份在全国第十一届残疾人运动会暨第八届特殊奥林匹克运动会篮球比赛项目中，由县残联王志伟担任教练员，带领县特教学校5名残疾人运动员荣获团体银牌和个人技术银牌，为山西争了光，为长治添了彩。五是夯实基层组织建设服务，残疾人管理能力增强。以“两委”换届为契机，推动全县残疾人工作纳入村(居)委会社区工作事项清单，实现县、乡(镇)、村(社区)三级残联系统整体联动、高度配合，残疾人基层服务工作得到加强；进一步提升志愿者队伍建设，全年共开展6次志愿者服务活动。</w:t>
      </w:r>
    </w:p>
    <w:p>
      <w:pPr>
        <w:spacing w:line="220" w:lineRule="atLeast"/>
        <w:rPr>
          <w:b/>
          <w:sz w:val="28"/>
          <w:szCs w:val="28"/>
        </w:rPr>
      </w:pPr>
    </w:p>
    <w:p>
      <w:pPr>
        <w:spacing w:line="220" w:lineRule="atLeast"/>
        <w:rPr>
          <w:b/>
          <w:sz w:val="28"/>
          <w:szCs w:val="28"/>
        </w:rPr>
      </w:pPr>
      <w:r>
        <w:rPr>
          <w:rFonts w:hint="eastAsia"/>
          <w:b/>
          <w:sz w:val="28"/>
          <w:szCs w:val="28"/>
        </w:rPr>
        <w:t>第二部分 2021年度部门决算报表（见附表1）</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   拨款支出决算表</w:t>
      </w:r>
    </w:p>
    <w:p>
      <w:pPr>
        <w:ind w:firstLine="560" w:firstLineChars="200"/>
        <w:rPr>
          <w:rFonts w:ascii="仿宋_GB2312" w:hAnsi="楷体" w:eastAsia="仿宋_GB2312"/>
          <w:sz w:val="28"/>
          <w:szCs w:val="28"/>
        </w:rPr>
      </w:pPr>
      <w:r>
        <w:rPr>
          <w:rFonts w:hint="eastAsia"/>
          <w:sz w:val="28"/>
          <w:szCs w:val="28"/>
        </w:rPr>
        <w:t>说明：平顺县残疾人联合会没有使用国有资本经营预算安排的支出，故本表无数据。</w:t>
      </w:r>
    </w:p>
    <w:p>
      <w:pPr>
        <w:spacing w:line="220" w:lineRule="atLeast"/>
        <w:rPr>
          <w:sz w:val="28"/>
          <w:szCs w:val="28"/>
        </w:rPr>
      </w:pPr>
      <w:r>
        <w:rPr>
          <w:rFonts w:hint="eastAsia"/>
          <w:sz w:val="28"/>
          <w:szCs w:val="28"/>
        </w:rPr>
        <w:t>十、部门决算公开相关信息统计表</w:t>
      </w:r>
    </w:p>
    <w:p>
      <w:pPr>
        <w:spacing w:line="220" w:lineRule="atLeast"/>
        <w:ind w:firstLine="420" w:firstLineChars="150"/>
        <w:rPr>
          <w:sz w:val="28"/>
          <w:szCs w:val="28"/>
        </w:rPr>
      </w:pPr>
    </w:p>
    <w:p>
      <w:pPr>
        <w:spacing w:line="220" w:lineRule="atLeast"/>
        <w:rPr>
          <w:sz w:val="28"/>
          <w:szCs w:val="28"/>
        </w:rPr>
      </w:pPr>
      <w:r>
        <w:rPr>
          <w:rFonts w:hint="eastAsia"/>
          <w:b/>
          <w:sz w:val="28"/>
          <w:szCs w:val="28"/>
        </w:rPr>
        <w:t>第三部分 2021年度部门决算情况说明</w:t>
      </w:r>
    </w:p>
    <w:p>
      <w:pPr>
        <w:spacing w:line="220" w:lineRule="atLeast"/>
        <w:ind w:firstLine="562" w:firstLineChars="200"/>
        <w:rPr>
          <w:b/>
          <w:sz w:val="28"/>
          <w:szCs w:val="28"/>
        </w:rPr>
      </w:pPr>
      <w:r>
        <w:rPr>
          <w:rFonts w:hint="eastAsia"/>
          <w:b/>
          <w:sz w:val="28"/>
          <w:szCs w:val="28"/>
        </w:rPr>
        <w:t>一、收入支出决算总体情况说明</w:t>
      </w:r>
    </w:p>
    <w:p>
      <w:pPr>
        <w:spacing w:line="220" w:lineRule="atLeast"/>
        <w:ind w:firstLine="560" w:firstLineChars="200"/>
        <w:rPr>
          <w:sz w:val="28"/>
          <w:szCs w:val="28"/>
        </w:rPr>
      </w:pPr>
      <w:r>
        <w:rPr>
          <w:rFonts w:hint="eastAsia"/>
          <w:sz w:val="28"/>
          <w:szCs w:val="28"/>
        </w:rPr>
        <w:t>2021年度收入总计267.97万元、支出总计288.82万元。与上年相比，收入总计减少18.31万元，减少6.40%，支出总计减少10.54万元，减少3.52%。主要原因是上级拨款任务较上年有所减少，收入与支出均有所减少。</w:t>
      </w:r>
    </w:p>
    <w:p>
      <w:pPr>
        <w:spacing w:line="220" w:lineRule="atLeast"/>
        <w:ind w:firstLine="562" w:firstLineChars="200"/>
        <w:rPr>
          <w:b/>
          <w:sz w:val="28"/>
          <w:szCs w:val="28"/>
        </w:rPr>
      </w:pPr>
      <w:r>
        <w:rPr>
          <w:rFonts w:hint="eastAsia"/>
          <w:b/>
          <w:sz w:val="28"/>
          <w:szCs w:val="28"/>
        </w:rPr>
        <w:t>二、收入决算情况说明</w:t>
      </w:r>
    </w:p>
    <w:p>
      <w:pPr>
        <w:spacing w:line="220" w:lineRule="atLeast"/>
        <w:ind w:firstLine="560" w:firstLineChars="200"/>
        <w:rPr>
          <w:sz w:val="28"/>
          <w:szCs w:val="28"/>
        </w:rPr>
      </w:pPr>
      <w:r>
        <w:rPr>
          <w:rFonts w:hint="eastAsia"/>
          <w:sz w:val="28"/>
          <w:szCs w:val="28"/>
        </w:rPr>
        <w:t>2021年度收入合计267.97万元，其中：财政拨款收入262.36万元，占比97.91%；上级补助收入0万元，占比0%；事业收入0万元，占比0%；经营收入0万元，占比0%；附属单位上缴收入0万元，占比0%；其他收入5.61万元，占比2.09%。</w:t>
      </w:r>
    </w:p>
    <w:p>
      <w:pPr>
        <w:spacing w:line="220" w:lineRule="atLeast"/>
        <w:ind w:firstLine="562" w:firstLineChars="200"/>
        <w:rPr>
          <w:b/>
          <w:sz w:val="28"/>
          <w:szCs w:val="28"/>
        </w:rPr>
      </w:pPr>
      <w:r>
        <w:rPr>
          <w:rFonts w:hint="eastAsia"/>
          <w:b/>
          <w:sz w:val="28"/>
          <w:szCs w:val="28"/>
        </w:rPr>
        <w:t>三、支出决算情况说明</w:t>
      </w:r>
    </w:p>
    <w:p>
      <w:pPr>
        <w:spacing w:line="220" w:lineRule="atLeast"/>
        <w:ind w:firstLine="560" w:firstLineChars="200"/>
        <w:rPr>
          <w:sz w:val="28"/>
          <w:szCs w:val="28"/>
        </w:rPr>
      </w:pPr>
      <w:r>
        <w:rPr>
          <w:rFonts w:hint="eastAsia"/>
          <w:sz w:val="28"/>
          <w:szCs w:val="28"/>
        </w:rPr>
        <w:t>2021年度支出合计288.82万元，其中：基本支出208.85万元，占比72.31%；项目支出79.97万元，占比27.69%；上缴上级支出0万元，占比0%，经营支出0万元，占比0%， 对附属单位补助支出0万元，占比0%。</w:t>
      </w:r>
    </w:p>
    <w:p>
      <w:pPr>
        <w:spacing w:line="220" w:lineRule="atLeast"/>
        <w:ind w:firstLine="562" w:firstLineChars="200"/>
        <w:rPr>
          <w:b/>
          <w:sz w:val="28"/>
          <w:szCs w:val="28"/>
        </w:rPr>
      </w:pPr>
      <w:r>
        <w:rPr>
          <w:rFonts w:hint="eastAsia"/>
          <w:b/>
          <w:sz w:val="28"/>
          <w:szCs w:val="28"/>
        </w:rPr>
        <w:t>四、财政拨款收入支出决算总体情况说明</w:t>
      </w:r>
    </w:p>
    <w:p>
      <w:pPr>
        <w:spacing w:line="220" w:lineRule="atLeast"/>
        <w:ind w:firstLine="560" w:firstLineChars="200"/>
        <w:rPr>
          <w:sz w:val="28"/>
          <w:szCs w:val="28"/>
        </w:rPr>
      </w:pPr>
      <w:r>
        <w:rPr>
          <w:rFonts w:hint="eastAsia"/>
          <w:sz w:val="28"/>
          <w:szCs w:val="28"/>
        </w:rPr>
        <w:t>2021年度财政拨款收入总计262.36万元、支出总计283.20万元。与上年相比，财政拨款收入总计减少17.07万元，减少6.11%，财政拨款支出总计减少9.31万元，减少3.18%。主要原因是上级拨款任务较上年有所减少，财政拨款收入与支出均有所减少。</w:t>
      </w:r>
    </w:p>
    <w:p>
      <w:pPr>
        <w:spacing w:line="220" w:lineRule="atLeast"/>
        <w:ind w:firstLine="562" w:firstLineChars="200"/>
        <w:rPr>
          <w:b/>
          <w:sz w:val="28"/>
          <w:szCs w:val="28"/>
        </w:rPr>
      </w:pPr>
      <w:r>
        <w:rPr>
          <w:rFonts w:hint="eastAsia"/>
          <w:b/>
          <w:sz w:val="28"/>
          <w:szCs w:val="28"/>
        </w:rPr>
        <w:t>五、一般公共预算财政拨款支出决算情况说明</w:t>
      </w:r>
    </w:p>
    <w:p>
      <w:pPr>
        <w:spacing w:line="220" w:lineRule="atLeast"/>
        <w:ind w:firstLine="421" w:firstLineChars="150"/>
        <w:rPr>
          <w:b/>
          <w:sz w:val="28"/>
          <w:szCs w:val="28"/>
        </w:rPr>
      </w:pPr>
      <w:r>
        <w:rPr>
          <w:rFonts w:hint="eastAsia"/>
          <w:b/>
          <w:sz w:val="28"/>
          <w:szCs w:val="28"/>
        </w:rPr>
        <w:t>（一）财政拨款支出决算总体情况</w:t>
      </w:r>
    </w:p>
    <w:p>
      <w:pPr>
        <w:spacing w:line="220" w:lineRule="atLeast"/>
        <w:ind w:firstLine="560" w:firstLineChars="200"/>
        <w:rPr>
          <w:sz w:val="28"/>
          <w:szCs w:val="28"/>
        </w:rPr>
      </w:pPr>
      <w:r>
        <w:rPr>
          <w:rFonts w:hint="eastAsia"/>
          <w:sz w:val="28"/>
          <w:szCs w:val="28"/>
        </w:rPr>
        <w:t>2021年度财政拨款支出240.55万元，占本年支出合计的83.29%。与上年相比，财政拨款支出减少16.87万元，减少6.55%。主要原因是上级下达任务减少，项目支出有所减少。其中，人员经费142.82万元，占比59.37%， 日常公用经费60.42万元，占比25.12%。</w:t>
      </w:r>
    </w:p>
    <w:p>
      <w:pPr>
        <w:spacing w:line="220" w:lineRule="atLeast"/>
        <w:ind w:firstLine="421" w:firstLineChars="150"/>
        <w:rPr>
          <w:b/>
          <w:sz w:val="28"/>
          <w:szCs w:val="28"/>
        </w:rPr>
      </w:pPr>
      <w:r>
        <w:rPr>
          <w:rFonts w:hint="eastAsia"/>
          <w:b/>
          <w:sz w:val="28"/>
          <w:szCs w:val="28"/>
        </w:rPr>
        <w:t>（二）财政拨款支出决算结构情况</w:t>
      </w:r>
    </w:p>
    <w:p>
      <w:pPr>
        <w:spacing w:line="220" w:lineRule="atLeast"/>
        <w:ind w:firstLine="560" w:firstLineChars="200"/>
        <w:rPr>
          <w:sz w:val="28"/>
          <w:szCs w:val="28"/>
        </w:rPr>
      </w:pPr>
      <w:r>
        <w:rPr>
          <w:rFonts w:hint="eastAsia"/>
          <w:sz w:val="28"/>
          <w:szCs w:val="28"/>
        </w:rPr>
        <w:t>2021年度财政拨款支出240.55万元，主要用于以下方面：一般公共服务（类）支出1.21万元，占0.5%；外交（类）支出0万元，占0%；国防（类）支出0万元，占0%；公共安全（类）支出0万元，占0%；教育（类）支出0万元，占0%；科学技术（类）支出0万元，占0%；文化旅游体育与传媒（类）支出0万元，占0%；社会保障和就业（类）支出226.34万元，</w:t>
      </w:r>
      <w:r>
        <w:rPr>
          <w:sz w:val="28"/>
          <w:szCs w:val="28"/>
        </w:rPr>
        <w:t xml:space="preserve"> </w:t>
      </w:r>
      <w:r>
        <w:rPr>
          <w:rFonts w:hint="eastAsia"/>
          <w:sz w:val="28"/>
          <w:szCs w:val="28"/>
        </w:rPr>
        <w:t>占94.09%；卫生健康（类）支出4.37万元，占1.82%；节能环保（类）支出0万元，占0%；城乡社区（类）支出0万元，占0%；农林水（类）支出0万元，占0%；交通运输（类）支出0万元，占0%；资源勘探工业信息等（类）支出0万元，占0%；商业服务业等（类）支出0万元，占0%；金融（类）支出0万元，占0%；援助其他地区（类）支出0万元，占0%；自然资源海洋气象等（类）支出0万元，占0%；住房保障（类）支出8.63万元，占3.59%；粮油物资储备（类）支出0万元，占0%；国有资本经营预算（类）支出0万元，占0%；灾害防治及应急管理（类）支出0万元，占0%；其他（类）支出0万元，占0%；债务还本（类）支出0万元，占0%；债务付息（类）支出0万元，占0%；抗疫特别国债安排（类）支出0万元，占0%。</w:t>
      </w:r>
    </w:p>
    <w:p>
      <w:pPr>
        <w:spacing w:line="220" w:lineRule="atLeast"/>
        <w:ind w:firstLine="421" w:firstLineChars="150"/>
        <w:rPr>
          <w:b/>
          <w:sz w:val="28"/>
          <w:szCs w:val="28"/>
        </w:rPr>
      </w:pPr>
      <w:r>
        <w:rPr>
          <w:rFonts w:hint="eastAsia"/>
          <w:b/>
          <w:sz w:val="28"/>
          <w:szCs w:val="28"/>
        </w:rPr>
        <w:t>（三）财政拨款支出决算具体情况</w:t>
      </w:r>
    </w:p>
    <w:p>
      <w:pPr>
        <w:spacing w:line="220" w:lineRule="atLeast"/>
        <w:ind w:firstLine="560" w:firstLineChars="200"/>
        <w:rPr>
          <w:sz w:val="28"/>
          <w:szCs w:val="28"/>
        </w:rPr>
      </w:pPr>
      <w:r>
        <w:rPr>
          <w:rFonts w:hint="eastAsia"/>
          <w:sz w:val="28"/>
          <w:szCs w:val="28"/>
        </w:rPr>
        <w:t>2021年度财政拨款支出年初预算202.09万元，支出决算240.55万元，完成年初预算的119.03%。其中：</w:t>
      </w:r>
    </w:p>
    <w:p>
      <w:pPr>
        <w:spacing w:line="220" w:lineRule="atLeast"/>
        <w:ind w:firstLine="560" w:firstLineChars="200"/>
        <w:rPr>
          <w:sz w:val="28"/>
          <w:szCs w:val="28"/>
        </w:rPr>
      </w:pPr>
      <w:r>
        <w:rPr>
          <w:rFonts w:hint="eastAsia"/>
          <w:sz w:val="28"/>
          <w:szCs w:val="28"/>
        </w:rPr>
        <w:t>一般公共服务支出年初预算1.21万元，支出决算1.21万元，完成年初预算的100%，用于单位工会事务支出，较上年决算减少0.15万元，减少11.03%，主要原因是2021年编制预算在职人员数少于上年，且未加入2021年新增人员; 公共安全（类）支出年初预算0万元，支出决算0万元，完成年初预算的0%，我单位2021年无公共安全（类）支出，较上年决算增加0万元，增长0%，主要原因是我单位2021年度未发生公共安全（类）支出; 教育支出年初预算0万元，支出决算0万元，完成年初预算的0%，我单位2021年无教育支出，较上年决算增加0万元，增长0%，主要原因是我单位2021年度未发生教育支出;</w:t>
      </w:r>
      <w:r>
        <w:rPr>
          <w:rFonts w:hint="eastAsia"/>
        </w:rPr>
        <w:t xml:space="preserve"> </w:t>
      </w:r>
      <w:r>
        <w:rPr>
          <w:rFonts w:hint="eastAsia"/>
          <w:sz w:val="28"/>
          <w:szCs w:val="28"/>
        </w:rPr>
        <w:t>科学技术支出年初预算0万元，支出决算0万元，完成年初预算的0%，我单位2021年无科学技术支出，较上年决算增加0万元，增长0%，主要原因是我单位2021年度未发生科学技术支出; 文化旅游体育与传媒支出年初预算0万元，支出决算0万元，完成年初预算的0%，我单位2021年无文化旅游体育与传媒支出，较上年决算增加0万元，增长0%，主要原因是我单位2021年度未发生文化旅游体育与传媒支出; 社会保障和就业支出年初预算188.74万元，支出决算226.34万元，完成年初预算的119.92%，用于缴纳单位职工基本养老保险费单位配套部分、残疾人康复支出、残疾人就业和扶贫支出、残疾人生活和护理补贴支出以及其他残疾人事业支出，较上年决算减少16.71万元，减少6.88%，主要原因上级下达任务及拨款较上年减少，用于残疾人各项事业支出有所减少; 卫生健康支出年初预算4.3万元，支出决算4.37万元，完成年初预算的101.63%，用于缴纳单位职工基本医疗保险费单位配套部分，较上年决算减少0.44万元，减少9.15%，主要原因2021年我单位有人员变动且基本医疗保险缴费基数有所调整;</w:t>
      </w:r>
      <w:r>
        <w:rPr>
          <w:rFonts w:hint="eastAsia"/>
        </w:rPr>
        <w:t xml:space="preserve"> </w:t>
      </w:r>
      <w:r>
        <w:rPr>
          <w:rFonts w:hint="eastAsia"/>
          <w:sz w:val="28"/>
          <w:szCs w:val="28"/>
        </w:rPr>
        <w:t>节能环保支出年初预算0万元，支出决算0万元，完成年初预算的0%，我单位2021年无节能环保支出，较上年决算增加0万元，增长0%，主要原因是我单位2021年度未发生节能环保支出; 城乡社区支出年初预算0万元，支出决算0万元，完成年初预算的0%，我单位2021年无城乡社区支出，较上年决算增加0万元，增长0%，主要原因是我单位2021年度未发生城乡社区支出;</w:t>
      </w:r>
      <w:r>
        <w:rPr>
          <w:rFonts w:hint="eastAsia"/>
        </w:rPr>
        <w:t xml:space="preserve"> </w:t>
      </w:r>
      <w:r>
        <w:rPr>
          <w:rFonts w:hint="eastAsia"/>
          <w:sz w:val="28"/>
          <w:szCs w:val="28"/>
        </w:rPr>
        <w:t>农林水支出年初预算0万元，支出决算0万元，完成年初预算的0%，我单位2021年无农林水支出，较上年决算增加0万元，增长0%，主要原因是我单位2021年度未发生农林水支出;</w:t>
      </w:r>
      <w:r>
        <w:rPr>
          <w:rFonts w:hint="eastAsia"/>
        </w:rPr>
        <w:t xml:space="preserve"> </w:t>
      </w:r>
      <w:r>
        <w:rPr>
          <w:rFonts w:hint="eastAsia"/>
          <w:sz w:val="28"/>
          <w:szCs w:val="28"/>
        </w:rPr>
        <w:t>交通运输支出年初预算0万元，支出决算0万元，完成年初预算的0%，我单位2021年无交通运输支出，较上年决算增加0万元，增长0%，主要原因是我单位2021年度未发生交通运输支出;</w:t>
      </w:r>
      <w:r>
        <w:rPr>
          <w:rFonts w:hint="eastAsia"/>
        </w:rPr>
        <w:t xml:space="preserve"> </w:t>
      </w:r>
      <w:r>
        <w:rPr>
          <w:rFonts w:hint="eastAsia"/>
          <w:sz w:val="28"/>
          <w:szCs w:val="28"/>
        </w:rPr>
        <w:t>资源勘探工业信息等支出年初预算0万元，支出决算0万元，完成年初预算的0%，我单位2021年无资源勘探工业信息等支出，较上年决算增加0万元，增长0%，主要原因是我单位2021年度未发生资源勘探工业信息等支出; 商业服务业等支出年初预算0万元，支出决算0万元，完成年初预算的0%，我单位2021年无商业服务业等支出，较上年决算增加0万元，增长0%，主要原因是我单位2021年度未发生商业服务业等支出; 金融支出年初预算0万元，支出决算0万元，完成年初预算的0%，我单位2021年无金融支出，较上年决算增加0万元，增长0%，主要原因是我单位2021年度未发生金融支出; 援助其他地区支出年初预算0万元，支出决算0万元，完成年初预算的0%，我单位2021年无援助其他地区支出，较上年决算增加0万元，增长0%，主要原因是我单位2021年度未发生援助其他地区支出; 自然资源海洋气象等支出年初预算0万元，支出决算0万元，完成年初预算的0%，我单位2021年无自然资源海洋气象等支出，较上年决算增加0万元，增长0%，主要原因是我单位2021年度未发生自然资源海洋气象等支出; 住房保障支出年初预算7.84万元，支出决算8.63万元，完成年初预算的110.08%，用于缴纳单位职工住房公积金单位配套部分，较上年决算增加0.43万元，增长5.24%，主要原因2021年我单位有人员变动且住房公积金基数有所调整; 粮油物资储备支出年初预算0万元，支出决算0万元，完成年初预算的0%，我单位2021年无粮油物资储备支出，较上年决算增加0万元，增长0%，主要原因是我单位2021年度未发生粮油物资储备支出; 国有资本经营预算支出年初预算0万元，支出决算0万元，完成年初预算的0%，我单位2021年无国有资本经营预算支出，较上年决算增加0万元，增长0%，主要原因是我单位2021年度未发生国有资本经营预算支出;</w:t>
      </w:r>
      <w:r>
        <w:rPr>
          <w:rFonts w:hint="eastAsia"/>
        </w:rPr>
        <w:t xml:space="preserve"> </w:t>
      </w:r>
      <w:r>
        <w:rPr>
          <w:rFonts w:hint="eastAsia"/>
          <w:sz w:val="28"/>
          <w:szCs w:val="28"/>
        </w:rPr>
        <w:t>灾害防治及应急管理支出年初预算0万元，支出决算0万元，完成年初预算的0%，我单位2021年无灾害防治及应急管理支出，较上年决算增加0万元，增长0%，主要原因是我单位2021年度未发生灾害防治及应急管理支出;</w:t>
      </w:r>
      <w:r>
        <w:rPr>
          <w:rFonts w:hint="eastAsia"/>
        </w:rPr>
        <w:t xml:space="preserve"> </w:t>
      </w:r>
      <w:r>
        <w:rPr>
          <w:rFonts w:hint="eastAsia"/>
          <w:sz w:val="28"/>
          <w:szCs w:val="28"/>
        </w:rPr>
        <w:t>其他支出年初预算0万元，支出决算0万元，完成年初预算的0%，我单位2021年无其他支出，较上年决算增加0万元，增长0%，主要原因是我单位2021年度未发生其他支出; 债务还本支出年初预算0万元，支出决算0万元，完成年初预算的0%，我单位2021年无债务还本支出，较上年决算增加0万元，增长0%，主要原因是我单位2021年度未发生债务还本支出; 债务付息支出年初预算0万元，支出决算0万元，完成年初预算的0%，我单位2021年无债务付息支出，较上年决算增加0万元，增长0%，主要原因是我单位2021年度未发生债务付息支出; 抗疫特别国债安排的支出年初预算0万元，支出决算0万元，完成年初预算的0%，我单位2021年无抗疫特别国债安排的支出，较上年决算增加0万元，增长0%，主要原因是我单位2021年度未发生抗疫特别国债安排的支出。</w:t>
      </w:r>
    </w:p>
    <w:p>
      <w:pPr>
        <w:spacing w:line="220" w:lineRule="atLeast"/>
        <w:ind w:firstLine="562" w:firstLineChars="200"/>
        <w:rPr>
          <w:b/>
          <w:sz w:val="28"/>
          <w:szCs w:val="28"/>
        </w:rPr>
      </w:pPr>
      <w:r>
        <w:rPr>
          <w:rFonts w:hint="eastAsia"/>
          <w:b/>
          <w:sz w:val="28"/>
          <w:szCs w:val="28"/>
        </w:rPr>
        <w:t>六、一般公共预算财政拨款基本支出决算情况说明</w:t>
      </w:r>
    </w:p>
    <w:p>
      <w:pPr>
        <w:spacing w:line="220" w:lineRule="atLeast"/>
        <w:ind w:firstLine="560" w:firstLineChars="200"/>
        <w:rPr>
          <w:sz w:val="28"/>
          <w:szCs w:val="28"/>
        </w:rPr>
      </w:pPr>
      <w:r>
        <w:rPr>
          <w:rFonts w:hint="eastAsia"/>
          <w:sz w:val="28"/>
          <w:szCs w:val="28"/>
        </w:rPr>
        <w:t>2021年度财政拨款基本支出203.24万元，其中：人员经费142.82万元，主要包括基本工资、津贴补贴、奖金、社会保障缴费、住房公积金、其他对个人和家庭的补助支出；公用经费60.42万元，主要包括办公费、印刷费、水费、电费、邮电费、取暖费、差旅费、维修（护）费、会议费、培训费、委托业务费、工会经费、公务用车运行维护费、其他交通费用、其他商品和服务支出、办公设备购置。</w:t>
      </w:r>
    </w:p>
    <w:p>
      <w:pPr>
        <w:spacing w:line="220" w:lineRule="atLeast"/>
        <w:ind w:firstLine="562" w:firstLineChars="200"/>
        <w:rPr>
          <w:b/>
          <w:sz w:val="28"/>
          <w:szCs w:val="28"/>
        </w:rPr>
      </w:pPr>
      <w:r>
        <w:rPr>
          <w:rFonts w:hint="eastAsia"/>
          <w:b/>
          <w:sz w:val="28"/>
          <w:szCs w:val="28"/>
        </w:rPr>
        <w:t>七、一般公共预算财政拨款“三公”经费支出决算情况说明</w:t>
      </w:r>
    </w:p>
    <w:p>
      <w:pPr>
        <w:spacing w:line="220" w:lineRule="atLeast"/>
        <w:ind w:firstLine="562" w:firstLineChars="200"/>
        <w:rPr>
          <w:b/>
          <w:sz w:val="28"/>
          <w:szCs w:val="28"/>
        </w:rPr>
      </w:pPr>
      <w:r>
        <w:rPr>
          <w:rFonts w:hint="eastAsia"/>
          <w:b/>
          <w:sz w:val="28"/>
          <w:szCs w:val="28"/>
        </w:rPr>
        <w:t>（一）“三公”经费财政拨款支出决算总体情况说明。</w:t>
      </w:r>
    </w:p>
    <w:p>
      <w:pPr>
        <w:spacing w:line="220" w:lineRule="atLeast"/>
        <w:ind w:firstLine="560" w:firstLineChars="200"/>
        <w:rPr>
          <w:sz w:val="28"/>
          <w:szCs w:val="28"/>
        </w:rPr>
      </w:pPr>
      <w:r>
        <w:rPr>
          <w:rFonts w:hint="eastAsia"/>
          <w:sz w:val="28"/>
          <w:szCs w:val="28"/>
        </w:rPr>
        <w:t>2021年度“三公”经费财政拨款支出预算2万元，支出决算2万元，完成预算的100%，比上年增加0.08万元，增长4.2%，主要原因是：我单位“三公”经费全部为公务用车运行维护费，且我单位公务用车为残疾人流动服务车，2021年我单位访视残疾人较上年增多，公务用车运行维护费较上年有所增加。</w:t>
      </w:r>
    </w:p>
    <w:p>
      <w:pPr>
        <w:spacing w:line="220" w:lineRule="atLeast"/>
        <w:ind w:firstLine="562" w:firstLineChars="200"/>
        <w:rPr>
          <w:b/>
          <w:sz w:val="28"/>
          <w:szCs w:val="28"/>
        </w:rPr>
      </w:pPr>
      <w:r>
        <w:rPr>
          <w:rFonts w:hint="eastAsia"/>
          <w:b/>
          <w:sz w:val="28"/>
          <w:szCs w:val="28"/>
        </w:rPr>
        <w:t>（二）“三公”经费财政拨款支出决算具体情况说明。</w:t>
      </w:r>
    </w:p>
    <w:p>
      <w:pPr>
        <w:ind w:firstLine="636"/>
        <w:rPr>
          <w:rFonts w:ascii="仿宋_GB2312" w:hAnsi="仿宋" w:eastAsia="仿宋_GB2312"/>
          <w:b/>
          <w:sz w:val="32"/>
          <w:szCs w:val="32"/>
        </w:rPr>
      </w:pPr>
      <w:r>
        <w:rPr>
          <w:rFonts w:hint="eastAsia" w:ascii="仿宋_GB2312" w:hAnsi="仿宋" w:eastAsia="仿宋_GB2312"/>
          <w:b/>
          <w:sz w:val="32"/>
          <w:szCs w:val="32"/>
        </w:rPr>
        <w:t>（1）与预算数比较</w:t>
      </w:r>
    </w:p>
    <w:tbl>
      <w:tblPr>
        <w:tblStyle w:val="7"/>
        <w:tblW w:w="0" w:type="auto"/>
        <w:tblInd w:w="91" w:type="dxa"/>
        <w:tblLayout w:type="autofit"/>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2021三公经费明细</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预算数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决算数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20"/>
                <w:szCs w:val="20"/>
              </w:rPr>
            </w:pPr>
            <w:r>
              <w:rPr>
                <w:rFonts w:hint="eastAsia" w:ascii="宋体" w:hAnsi="宋体" w:cs="宋体"/>
                <w:b/>
                <w:bCs/>
                <w:color w:val="000000"/>
                <w:sz w:val="20"/>
                <w:szCs w:val="20"/>
              </w:rPr>
              <w:t>决算完成预算比例%</w:t>
            </w:r>
          </w:p>
        </w:tc>
      </w:tr>
      <w:tr>
        <w:tblPrEx>
          <w:tblCellMar>
            <w:top w:w="0" w:type="dxa"/>
            <w:left w:w="108" w:type="dxa"/>
            <w:bottom w:w="0" w:type="dxa"/>
            <w:right w:w="108" w:type="dxa"/>
          </w:tblCellMar>
        </w:tblPrEx>
        <w:trPr>
          <w:trHeight w:val="552"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100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因公出国（境）费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公务用车购置及运行维护费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100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0"/>
                <w:szCs w:val="20"/>
              </w:rPr>
            </w:pPr>
            <w:r>
              <w:rPr>
                <w:rFonts w:hint="eastAsia" w:ascii="宋体" w:hAnsi="宋体" w:cs="宋体"/>
                <w:color w:val="000000"/>
              </w:rPr>
              <w:t xml:space="preserve">      </w:t>
            </w:r>
            <w:r>
              <w:rPr>
                <w:rFonts w:hint="eastAsia" w:ascii="宋体" w:hAnsi="宋体" w:cs="宋体"/>
                <w:color w:val="000000"/>
                <w:sz w:val="20"/>
                <w:szCs w:val="2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100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公务接待费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bl>
    <w:p>
      <w:pPr>
        <w:rPr>
          <w:rFonts w:ascii="仿宋_GB2312" w:hAnsi="仿宋" w:eastAsia="仿宋_GB2312"/>
          <w:b/>
          <w:sz w:val="32"/>
          <w:szCs w:val="32"/>
        </w:rPr>
      </w:pPr>
    </w:p>
    <w:p>
      <w:pPr>
        <w:ind w:firstLine="642" w:firstLineChars="200"/>
        <w:rPr>
          <w:rFonts w:ascii="仿宋_GB2312" w:hAnsi="仿宋" w:eastAsia="仿宋_GB2312"/>
          <w:b/>
          <w:sz w:val="32"/>
          <w:szCs w:val="32"/>
        </w:rPr>
      </w:pPr>
      <w:r>
        <w:rPr>
          <w:rFonts w:hint="eastAsia" w:ascii="仿宋_GB2312" w:hAnsi="仿宋" w:eastAsia="仿宋_GB2312"/>
          <w:b/>
          <w:sz w:val="32"/>
          <w:szCs w:val="32"/>
        </w:rPr>
        <w:t>（2）上下年度比较</w:t>
      </w:r>
    </w:p>
    <w:tbl>
      <w:tblPr>
        <w:tblStyle w:val="7"/>
        <w:tblW w:w="8431" w:type="dxa"/>
        <w:tblInd w:w="91" w:type="dxa"/>
        <w:tblLayout w:type="autofit"/>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三公经费明细</w:t>
            </w:r>
          </w:p>
        </w:tc>
        <w:tc>
          <w:tcPr>
            <w:tcW w:w="31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w:t>
            </w:r>
          </w:p>
        </w:tc>
        <w:tc>
          <w:tcPr>
            <w:tcW w:w="1184" w:type="dxa"/>
            <w:vMerge w:val="restart"/>
            <w:tcBorders>
              <w:top w:val="single" w:color="auto" w:sz="4" w:space="0"/>
              <w:left w:val="nil"/>
              <w:right w:val="single" w:color="auto" w:sz="4" w:space="0"/>
            </w:tcBorders>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rPr>
            </w:pP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84" w:type="dxa"/>
            <w:vMerge w:val="continue"/>
            <w:tcBorders>
              <w:left w:val="single" w:color="auto" w:sz="4" w:space="0"/>
              <w:bottom w:val="single" w:color="auto" w:sz="4" w:space="0"/>
              <w:right w:val="single" w:color="auto" w:sz="4" w:space="0"/>
            </w:tcBorders>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1.92</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0.08</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4.2</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因公出国（境）费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公务用车购置及运行维护费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2</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1.92</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0.08</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4.2</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1.92</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0.08</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4.2</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公务接待费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bl>
    <w:p>
      <w:pPr>
        <w:ind w:firstLine="636"/>
        <w:rPr>
          <w:rFonts w:ascii="仿宋_GB2312" w:hAnsi="仿宋" w:eastAsia="仿宋_GB2312"/>
          <w:b/>
          <w:sz w:val="32"/>
          <w:szCs w:val="32"/>
        </w:rPr>
      </w:pPr>
      <w:r>
        <w:rPr>
          <w:rFonts w:hint="eastAsia" w:ascii="仿宋_GB2312" w:hAnsi="仿宋" w:eastAsia="仿宋_GB2312"/>
          <w:b/>
          <w:sz w:val="32"/>
          <w:szCs w:val="32"/>
        </w:rPr>
        <w:t>（3）具体情况说明</w:t>
      </w:r>
    </w:p>
    <w:p>
      <w:pPr>
        <w:ind w:firstLine="560" w:firstLineChars="200"/>
        <w:rPr>
          <w:rFonts w:ascii="微软雅黑" w:hAnsi="微软雅黑" w:cs="宋体"/>
          <w:color w:val="000000"/>
          <w:sz w:val="28"/>
          <w:szCs w:val="28"/>
        </w:rPr>
      </w:pPr>
      <w:r>
        <w:rPr>
          <w:rFonts w:hint="eastAsia" w:ascii="微软雅黑" w:hAnsi="微软雅黑"/>
          <w:color w:val="000000"/>
          <w:sz w:val="28"/>
          <w:szCs w:val="28"/>
        </w:rPr>
        <w:t>2021年一般公共预算安排的“三公”经费年</w:t>
      </w:r>
      <w:r>
        <w:rPr>
          <w:rFonts w:hint="eastAsia" w:ascii="微软雅黑" w:hAnsi="微软雅黑"/>
          <w:sz w:val="28"/>
          <w:szCs w:val="28"/>
        </w:rPr>
        <w:t>初预算</w:t>
      </w:r>
      <w:r>
        <w:rPr>
          <w:rFonts w:hint="eastAsia" w:ascii="微软雅黑" w:hAnsi="微软雅黑" w:cs="宋体"/>
          <w:color w:val="000000"/>
          <w:sz w:val="28"/>
          <w:szCs w:val="28"/>
        </w:rPr>
        <w:t>2</w:t>
      </w:r>
      <w:r>
        <w:rPr>
          <w:rFonts w:hint="eastAsia" w:ascii="微软雅黑" w:hAnsi="微软雅黑"/>
          <w:sz w:val="28"/>
          <w:szCs w:val="28"/>
        </w:rPr>
        <w:t>万元，支出决算</w:t>
      </w:r>
      <w:r>
        <w:rPr>
          <w:rFonts w:hint="eastAsia" w:ascii="微软雅黑" w:hAnsi="微软雅黑" w:cs="宋体"/>
          <w:color w:val="000000"/>
          <w:sz w:val="28"/>
          <w:szCs w:val="28"/>
        </w:rPr>
        <w:t>2</w:t>
      </w:r>
      <w:r>
        <w:rPr>
          <w:rFonts w:hint="eastAsia" w:ascii="微软雅黑" w:hAnsi="微软雅黑"/>
          <w:sz w:val="28"/>
          <w:szCs w:val="28"/>
        </w:rPr>
        <w:t>万元，完成年初预算的</w:t>
      </w:r>
      <w:r>
        <w:rPr>
          <w:rFonts w:hint="eastAsia" w:ascii="微软雅黑" w:hAnsi="微软雅黑" w:cs="宋体"/>
          <w:color w:val="000000"/>
          <w:sz w:val="28"/>
          <w:szCs w:val="28"/>
        </w:rPr>
        <w:t>100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0.08</w:t>
      </w:r>
      <w:r>
        <w:rPr>
          <w:rFonts w:hint="eastAsia" w:ascii="微软雅黑" w:hAnsi="微软雅黑"/>
          <w:color w:val="000000"/>
          <w:sz w:val="28"/>
          <w:szCs w:val="28"/>
        </w:rPr>
        <w:t>万元，增长</w:t>
      </w:r>
      <w:r>
        <w:rPr>
          <w:rFonts w:hint="eastAsia" w:ascii="微软雅黑" w:hAnsi="微软雅黑" w:cs="宋体"/>
          <w:color w:val="000000"/>
          <w:sz w:val="28"/>
          <w:szCs w:val="28"/>
        </w:rPr>
        <w:t>4.2</w:t>
      </w:r>
      <w:r>
        <w:rPr>
          <w:rFonts w:hint="eastAsia" w:ascii="微软雅黑" w:hAnsi="微软雅黑"/>
          <w:color w:val="000000"/>
          <w:sz w:val="28"/>
          <w:szCs w:val="28"/>
        </w:rPr>
        <w:t>%。</w:t>
      </w:r>
      <w:r>
        <w:rPr>
          <w:rFonts w:hint="eastAsia" w:ascii="微软雅黑" w:hAnsi="微软雅黑"/>
          <w:sz w:val="28"/>
          <w:szCs w:val="28"/>
        </w:rPr>
        <w:t>其中：因公出国（境）费用年初预算0万元，支出决算0万元，完成年初预算的0%，比上年增加0万元，增长0%，原因是我单位2021年度未发生因公出国（境）费用（</w:t>
      </w:r>
      <w:r>
        <w:rPr>
          <w:rFonts w:ascii="微软雅黑" w:hAnsi="微软雅黑"/>
          <w:sz w:val="28"/>
          <w:szCs w:val="28"/>
        </w:rPr>
        <w:t>全年使用一般公共预算拨款支出安排的出国（境）团组</w:t>
      </w:r>
      <w:r>
        <w:rPr>
          <w:rFonts w:hint="eastAsia" w:ascii="微软雅黑" w:hAnsi="微软雅黑"/>
          <w:sz w:val="28"/>
          <w:szCs w:val="28"/>
        </w:rPr>
        <w:t>0</w:t>
      </w:r>
      <w:r>
        <w:rPr>
          <w:rFonts w:ascii="微软雅黑" w:hAnsi="微软雅黑"/>
          <w:sz w:val="28"/>
          <w:szCs w:val="28"/>
        </w:rPr>
        <w:t>个，累计</w:t>
      </w:r>
      <w:r>
        <w:rPr>
          <w:rFonts w:hint="eastAsia" w:ascii="微软雅黑" w:hAnsi="微软雅黑"/>
          <w:sz w:val="28"/>
          <w:szCs w:val="28"/>
        </w:rPr>
        <w:t>0</w:t>
      </w:r>
      <w:r>
        <w:rPr>
          <w:rFonts w:ascii="微软雅黑" w:hAnsi="微软雅黑"/>
          <w:sz w:val="28"/>
          <w:szCs w:val="28"/>
        </w:rPr>
        <w:t>人次</w:t>
      </w:r>
      <w:r>
        <w:rPr>
          <w:rFonts w:hint="eastAsia" w:ascii="微软雅黑" w:hAnsi="微软雅黑"/>
          <w:sz w:val="28"/>
          <w:szCs w:val="28"/>
        </w:rPr>
        <w:t>）；</w:t>
      </w:r>
      <w:r>
        <w:rPr>
          <w:rFonts w:hint="eastAsia" w:ascii="微软雅黑" w:hAnsi="微软雅黑"/>
          <w:color w:val="000000"/>
          <w:sz w:val="28"/>
          <w:szCs w:val="28"/>
        </w:rPr>
        <w:t>其中公务用车购置及运行维护费用年</w:t>
      </w:r>
      <w:r>
        <w:rPr>
          <w:rFonts w:hint="eastAsia" w:ascii="微软雅黑" w:hAnsi="微软雅黑"/>
          <w:sz w:val="28"/>
          <w:szCs w:val="28"/>
        </w:rPr>
        <w:t>初预算</w:t>
      </w:r>
      <w:r>
        <w:rPr>
          <w:rFonts w:hint="eastAsia" w:ascii="微软雅黑" w:hAnsi="微软雅黑" w:cs="宋体"/>
          <w:color w:val="000000"/>
          <w:sz w:val="28"/>
          <w:szCs w:val="28"/>
        </w:rPr>
        <w:t>2</w:t>
      </w:r>
      <w:r>
        <w:rPr>
          <w:rFonts w:hint="eastAsia" w:ascii="微软雅黑" w:hAnsi="微软雅黑"/>
          <w:sz w:val="28"/>
          <w:szCs w:val="28"/>
        </w:rPr>
        <w:t>万元，支出决算</w:t>
      </w:r>
      <w:r>
        <w:rPr>
          <w:rFonts w:hint="eastAsia" w:ascii="微软雅黑" w:hAnsi="微软雅黑" w:cs="宋体"/>
          <w:color w:val="000000"/>
          <w:sz w:val="28"/>
          <w:szCs w:val="28"/>
        </w:rPr>
        <w:t>2</w:t>
      </w:r>
      <w:r>
        <w:rPr>
          <w:rFonts w:hint="eastAsia" w:ascii="微软雅黑" w:hAnsi="微软雅黑"/>
          <w:sz w:val="28"/>
          <w:szCs w:val="28"/>
        </w:rPr>
        <w:t>万元，完成年初预算的</w:t>
      </w:r>
      <w:r>
        <w:rPr>
          <w:rFonts w:hint="eastAsia" w:ascii="微软雅黑" w:hAnsi="微软雅黑" w:cs="宋体"/>
          <w:color w:val="000000"/>
          <w:sz w:val="28"/>
          <w:szCs w:val="28"/>
        </w:rPr>
        <w:t>100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0.08</w:t>
      </w:r>
      <w:r>
        <w:rPr>
          <w:rFonts w:hint="eastAsia" w:ascii="微软雅黑" w:hAnsi="微软雅黑"/>
          <w:color w:val="000000"/>
          <w:sz w:val="28"/>
          <w:szCs w:val="28"/>
        </w:rPr>
        <w:t>万元，增长</w:t>
      </w:r>
      <w:r>
        <w:rPr>
          <w:rFonts w:hint="eastAsia" w:ascii="微软雅黑" w:hAnsi="微软雅黑" w:cs="宋体"/>
          <w:color w:val="000000"/>
          <w:sz w:val="28"/>
          <w:szCs w:val="28"/>
        </w:rPr>
        <w:t>4.2</w:t>
      </w:r>
      <w:r>
        <w:rPr>
          <w:rFonts w:hint="eastAsia" w:ascii="微软雅黑" w:hAnsi="微软雅黑"/>
          <w:color w:val="000000"/>
          <w:sz w:val="28"/>
          <w:szCs w:val="28"/>
        </w:rPr>
        <w:t>%（具体：其中公务用车购置费年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%，原因是我单位2021年度未发生公务用车购置费用，我单位公务用车保有量为一辆；公务用车运行维护费年</w:t>
      </w:r>
      <w:r>
        <w:rPr>
          <w:rFonts w:hint="eastAsia" w:ascii="微软雅黑" w:hAnsi="微软雅黑"/>
          <w:sz w:val="28"/>
          <w:szCs w:val="28"/>
        </w:rPr>
        <w:t>初预算</w:t>
      </w:r>
      <w:r>
        <w:rPr>
          <w:rFonts w:hint="eastAsia" w:ascii="微软雅黑" w:hAnsi="微软雅黑" w:cs="宋体"/>
          <w:color w:val="000000"/>
          <w:sz w:val="28"/>
          <w:szCs w:val="28"/>
        </w:rPr>
        <w:t>2</w:t>
      </w:r>
      <w:r>
        <w:rPr>
          <w:rFonts w:hint="eastAsia" w:ascii="微软雅黑" w:hAnsi="微软雅黑"/>
          <w:sz w:val="28"/>
          <w:szCs w:val="28"/>
        </w:rPr>
        <w:t>万元，支出决算</w:t>
      </w:r>
      <w:r>
        <w:rPr>
          <w:rFonts w:hint="eastAsia" w:ascii="微软雅黑" w:hAnsi="微软雅黑" w:cs="宋体"/>
          <w:color w:val="000000"/>
          <w:sz w:val="28"/>
          <w:szCs w:val="28"/>
        </w:rPr>
        <w:t>2</w:t>
      </w:r>
      <w:r>
        <w:rPr>
          <w:rFonts w:hint="eastAsia" w:ascii="微软雅黑" w:hAnsi="微软雅黑"/>
          <w:sz w:val="28"/>
          <w:szCs w:val="28"/>
        </w:rPr>
        <w:t>万元，完成年初预算的</w:t>
      </w:r>
      <w:r>
        <w:rPr>
          <w:rFonts w:hint="eastAsia" w:ascii="微软雅黑" w:hAnsi="微软雅黑" w:cs="宋体"/>
          <w:color w:val="000000"/>
          <w:sz w:val="28"/>
          <w:szCs w:val="28"/>
        </w:rPr>
        <w:t>100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0.08</w:t>
      </w:r>
      <w:r>
        <w:rPr>
          <w:rFonts w:hint="eastAsia" w:ascii="微软雅黑" w:hAnsi="微软雅黑"/>
          <w:color w:val="000000"/>
          <w:sz w:val="28"/>
          <w:szCs w:val="28"/>
        </w:rPr>
        <w:t>万元，增长</w:t>
      </w:r>
      <w:r>
        <w:rPr>
          <w:rFonts w:hint="eastAsia" w:ascii="微软雅黑" w:hAnsi="微软雅黑" w:cs="宋体"/>
          <w:color w:val="000000"/>
          <w:sz w:val="28"/>
          <w:szCs w:val="28"/>
        </w:rPr>
        <w:t>4.2</w:t>
      </w:r>
      <w:r>
        <w:rPr>
          <w:rFonts w:hint="eastAsia" w:ascii="微软雅黑" w:hAnsi="微软雅黑"/>
          <w:color w:val="000000"/>
          <w:sz w:val="28"/>
          <w:szCs w:val="28"/>
        </w:rPr>
        <w:t>%，原因是我单位公务用车为残疾人流动服务车，2021年我单位访视残疾人较上年增多，公务用车运行维护费较上年有所增加）；公务接待费年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%，原因是我单位2021年度未发生公务接待费用（全年</w:t>
      </w:r>
      <w:r>
        <w:rPr>
          <w:rFonts w:ascii="微软雅黑" w:hAnsi="微软雅黑"/>
          <w:color w:val="000000"/>
          <w:sz w:val="28"/>
          <w:szCs w:val="28"/>
        </w:rPr>
        <w:t>使用一般公共预算拨款开支的国内公务接待</w:t>
      </w:r>
      <w:r>
        <w:rPr>
          <w:rFonts w:hint="eastAsia" w:ascii="微软雅黑" w:hAnsi="微软雅黑"/>
          <w:color w:val="000000"/>
          <w:sz w:val="28"/>
          <w:szCs w:val="28"/>
        </w:rPr>
        <w:t>0</w:t>
      </w:r>
      <w:r>
        <w:rPr>
          <w:rFonts w:ascii="微软雅黑" w:hAnsi="微软雅黑"/>
          <w:color w:val="000000"/>
          <w:sz w:val="28"/>
          <w:szCs w:val="28"/>
        </w:rPr>
        <w:t>批次，</w:t>
      </w:r>
      <w:r>
        <w:rPr>
          <w:rFonts w:hint="eastAsia" w:ascii="微软雅黑" w:hAnsi="微软雅黑"/>
          <w:color w:val="000000"/>
          <w:sz w:val="28"/>
          <w:szCs w:val="28"/>
        </w:rPr>
        <w:t>0</w:t>
      </w:r>
      <w:r>
        <w:rPr>
          <w:rFonts w:ascii="微软雅黑" w:hAnsi="微软雅黑"/>
          <w:color w:val="000000"/>
          <w:sz w:val="28"/>
          <w:szCs w:val="28"/>
        </w:rPr>
        <w:t>人次</w:t>
      </w:r>
      <w:r>
        <w:rPr>
          <w:rFonts w:hint="eastAsia" w:ascii="微软雅黑" w:hAnsi="微软雅黑"/>
          <w:color w:val="000000"/>
          <w:sz w:val="28"/>
          <w:szCs w:val="28"/>
        </w:rPr>
        <w:t>。）</w:t>
      </w:r>
    </w:p>
    <w:p>
      <w:pPr>
        <w:spacing w:line="220" w:lineRule="atLeast"/>
        <w:ind w:firstLine="562" w:firstLineChars="200"/>
        <w:rPr>
          <w:b/>
          <w:sz w:val="28"/>
          <w:szCs w:val="28"/>
        </w:rPr>
      </w:pPr>
      <w:r>
        <w:rPr>
          <w:rFonts w:hint="eastAsia"/>
          <w:b/>
          <w:sz w:val="28"/>
          <w:szCs w:val="28"/>
        </w:rPr>
        <w:t>八、其他重要事项情况说明</w:t>
      </w:r>
    </w:p>
    <w:p>
      <w:pPr>
        <w:spacing w:line="220" w:lineRule="atLeast"/>
        <w:ind w:firstLine="562" w:firstLineChars="200"/>
        <w:rPr>
          <w:b/>
          <w:sz w:val="28"/>
          <w:szCs w:val="28"/>
        </w:rPr>
      </w:pPr>
      <w:r>
        <w:rPr>
          <w:rFonts w:hint="eastAsia"/>
          <w:b/>
          <w:sz w:val="28"/>
          <w:szCs w:val="28"/>
        </w:rPr>
        <w:t>（一）机关运行经费支出情况说明</w:t>
      </w:r>
    </w:p>
    <w:p>
      <w:pPr>
        <w:spacing w:line="220" w:lineRule="atLeast"/>
        <w:ind w:firstLine="560" w:firstLineChars="200"/>
        <w:rPr>
          <w:sz w:val="28"/>
          <w:szCs w:val="28"/>
        </w:rPr>
      </w:pPr>
      <w:r>
        <w:rPr>
          <w:rFonts w:hint="eastAsia"/>
          <w:sz w:val="28"/>
          <w:szCs w:val="28"/>
        </w:rPr>
        <w:t>2021年机关运行经费支出60.42万元，比上年减少15.13万元，减少20.03%。主要原因是：相关任务较上年有所减少，节约意识增强，在保证单位正常运转的情况下，压缩开支。</w:t>
      </w:r>
    </w:p>
    <w:p>
      <w:pPr>
        <w:spacing w:line="220" w:lineRule="atLeast"/>
        <w:ind w:firstLine="562" w:firstLineChars="200"/>
        <w:rPr>
          <w:b/>
          <w:sz w:val="28"/>
          <w:szCs w:val="28"/>
        </w:rPr>
      </w:pPr>
      <w:r>
        <w:rPr>
          <w:rFonts w:hint="eastAsia"/>
          <w:b/>
          <w:sz w:val="28"/>
          <w:szCs w:val="28"/>
        </w:rPr>
        <w:t>（二）政府采购情况说明</w:t>
      </w:r>
    </w:p>
    <w:p>
      <w:pPr>
        <w:spacing w:line="220" w:lineRule="atLeast"/>
        <w:ind w:firstLine="560" w:firstLineChars="200"/>
        <w:rPr>
          <w:sz w:val="28"/>
          <w:szCs w:val="28"/>
        </w:rPr>
      </w:pPr>
      <w:r>
        <w:rPr>
          <w:rFonts w:hint="eastAsia"/>
          <w:sz w:val="28"/>
          <w:szCs w:val="28"/>
        </w:rPr>
        <w:t>2021年度政府采购支出总额22.14万元，其中：政府采购货物支出22.14万元、政府采购工程支出0万元、政府采购服务支出0万元。政府采购授予中小企业合同金额22.14万元，占政府采购支出总额的100%。其中：授予小微企业合同金额22.14万元，占政府采购支出总额的100%。</w:t>
      </w:r>
    </w:p>
    <w:p>
      <w:pPr>
        <w:spacing w:line="220" w:lineRule="atLeast"/>
        <w:ind w:firstLine="562" w:firstLineChars="200"/>
        <w:rPr>
          <w:b/>
          <w:sz w:val="28"/>
          <w:szCs w:val="28"/>
        </w:rPr>
      </w:pPr>
      <w:r>
        <w:rPr>
          <w:rFonts w:hint="eastAsia"/>
          <w:b/>
          <w:sz w:val="28"/>
          <w:szCs w:val="28"/>
        </w:rPr>
        <w:t>（三）国有资产占用情况说明</w:t>
      </w:r>
    </w:p>
    <w:p>
      <w:pPr>
        <w:spacing w:line="220" w:lineRule="atLeast"/>
        <w:ind w:firstLine="560" w:firstLineChars="200"/>
        <w:rPr>
          <w:sz w:val="28"/>
          <w:szCs w:val="28"/>
        </w:rPr>
      </w:pPr>
      <w:r>
        <w:rPr>
          <w:rFonts w:hint="eastAsia"/>
          <w:sz w:val="28"/>
          <w:szCs w:val="28"/>
        </w:rPr>
        <w:t>（1）房屋情况</w:t>
      </w:r>
    </w:p>
    <w:p>
      <w:pPr>
        <w:ind w:firstLine="636"/>
        <w:rPr>
          <w:rFonts w:ascii="仿宋_GB2312" w:hAnsi="仿宋" w:eastAsia="仿宋_GB2312"/>
          <w:color w:val="FF0000"/>
          <w:sz w:val="32"/>
          <w:szCs w:val="32"/>
        </w:rPr>
      </w:pPr>
      <w:r>
        <w:rPr>
          <w:rFonts w:hint="eastAsia"/>
          <w:sz w:val="28"/>
          <w:szCs w:val="28"/>
        </w:rPr>
        <w:t>截至2021年12月31日，本部门共有房屋0平方米，价值为0万元，其中办公用房0平方米，价值为0万元；业务用房0平方米，价值为0万元；其他（不含构筑物）0平方米，价值为0万元。</w:t>
      </w:r>
    </w:p>
    <w:p>
      <w:pPr>
        <w:spacing w:line="220" w:lineRule="atLeast"/>
        <w:ind w:firstLine="560" w:firstLineChars="200"/>
        <w:rPr>
          <w:sz w:val="28"/>
          <w:szCs w:val="28"/>
        </w:rPr>
      </w:pPr>
      <w:r>
        <w:rPr>
          <w:rFonts w:hint="eastAsia"/>
          <w:sz w:val="28"/>
          <w:szCs w:val="28"/>
        </w:rPr>
        <w:t>（2）车辆及设备情况</w:t>
      </w:r>
    </w:p>
    <w:p>
      <w:pPr>
        <w:spacing w:line="220" w:lineRule="atLeast"/>
        <w:ind w:firstLine="560" w:firstLineChars="200"/>
        <w:rPr>
          <w:sz w:val="28"/>
          <w:szCs w:val="28"/>
        </w:rPr>
      </w:pPr>
      <w:r>
        <w:rPr>
          <w:rFonts w:hint="eastAsia"/>
          <w:sz w:val="28"/>
          <w:szCs w:val="28"/>
        </w:rPr>
        <w:t>截至2021年12月31日，本部门共有车辆1辆。其中，副部（省）级及以上领导用车0辆、主要领导干部用车0辆、机要通信用车0辆、应急保障用车0辆、执法执勤用车0辆、特种专业技术用车0辆、离退休干部用车0辆、其他用车1辆，其他用车主要是残疾人流动服务车；单价50万元（含）以上的通用设备0台（套），单价100万元（含）以上专用设备0台（套）。</w:t>
      </w:r>
    </w:p>
    <w:p>
      <w:pPr>
        <w:spacing w:line="220" w:lineRule="atLeast"/>
        <w:ind w:firstLine="562" w:firstLineChars="200"/>
        <w:rPr>
          <w:b/>
          <w:sz w:val="28"/>
          <w:szCs w:val="28"/>
        </w:rPr>
      </w:pPr>
      <w:r>
        <w:rPr>
          <w:rFonts w:hint="eastAsia"/>
          <w:b/>
          <w:sz w:val="28"/>
          <w:szCs w:val="28"/>
        </w:rPr>
        <w:t>（四）预算绩效情况说明</w:t>
      </w:r>
    </w:p>
    <w:p>
      <w:pPr>
        <w:spacing w:line="220" w:lineRule="atLeast"/>
        <w:ind w:firstLine="562" w:firstLineChars="200"/>
        <w:rPr>
          <w:b/>
          <w:sz w:val="28"/>
          <w:szCs w:val="28"/>
        </w:rPr>
      </w:pPr>
      <w:r>
        <w:rPr>
          <w:rFonts w:hint="eastAsia"/>
          <w:b/>
          <w:sz w:val="28"/>
          <w:szCs w:val="28"/>
        </w:rPr>
        <w:t>（1）预算绩效管理工作开展情况</w:t>
      </w:r>
    </w:p>
    <w:p>
      <w:pPr>
        <w:spacing w:line="220" w:lineRule="atLeast"/>
        <w:ind w:firstLine="560" w:firstLineChars="200"/>
        <w:rPr>
          <w:sz w:val="28"/>
          <w:szCs w:val="28"/>
        </w:rPr>
      </w:pPr>
      <w:r>
        <w:rPr>
          <w:rFonts w:hint="eastAsia"/>
          <w:sz w:val="28"/>
          <w:szCs w:val="28"/>
        </w:rPr>
        <w:t>根据预算绩效管理要求，我部门组织对2021年度县级财政预算安排的专项资金类4个项目支出全面开展绩效自评，涉及预算资金33万元，占一般公共预算项目支出总额的69.11%。我部门未对2021年度政府性基金预算项目支出开展绩效自评。</w:t>
      </w:r>
    </w:p>
    <w:p>
      <w:pPr>
        <w:spacing w:line="220" w:lineRule="atLeast"/>
        <w:ind w:firstLine="560" w:firstLineChars="200"/>
        <w:rPr>
          <w:sz w:val="28"/>
          <w:szCs w:val="28"/>
        </w:rPr>
      </w:pPr>
      <w:r>
        <w:rPr>
          <w:rFonts w:hint="eastAsia"/>
          <w:sz w:val="28"/>
          <w:szCs w:val="28"/>
        </w:rPr>
        <w:t>我单位本年度没有进行部门评价项目绩效评价。</w:t>
      </w:r>
    </w:p>
    <w:p>
      <w:pPr>
        <w:spacing w:line="220" w:lineRule="atLeast"/>
        <w:ind w:firstLine="560" w:firstLineChars="200"/>
        <w:rPr>
          <w:sz w:val="28"/>
          <w:szCs w:val="28"/>
        </w:rPr>
      </w:pPr>
      <w:r>
        <w:rPr>
          <w:rFonts w:hint="eastAsia"/>
          <w:sz w:val="28"/>
          <w:szCs w:val="28"/>
        </w:rPr>
        <w:t>我单位本年度没有开展整体绩效评价。</w:t>
      </w:r>
    </w:p>
    <w:p>
      <w:pPr>
        <w:spacing w:line="220" w:lineRule="atLeast"/>
        <w:ind w:firstLine="562" w:firstLineChars="200"/>
        <w:rPr>
          <w:sz w:val="28"/>
          <w:szCs w:val="28"/>
        </w:rPr>
      </w:pPr>
      <w:r>
        <w:rPr>
          <w:rFonts w:hint="eastAsia"/>
          <w:b/>
          <w:sz w:val="28"/>
          <w:szCs w:val="28"/>
        </w:rPr>
        <w:t>（2）部门决算中项目绩效自评结果</w:t>
      </w:r>
    </w:p>
    <w:p>
      <w:pPr>
        <w:spacing w:line="220" w:lineRule="atLeast"/>
        <w:ind w:firstLine="560" w:firstLineChars="200"/>
        <w:rPr>
          <w:color w:val="FF0000"/>
          <w:sz w:val="28"/>
          <w:szCs w:val="28"/>
        </w:rPr>
      </w:pPr>
      <w:r>
        <w:rPr>
          <w:rFonts w:hint="eastAsia"/>
          <w:sz w:val="28"/>
          <w:szCs w:val="28"/>
        </w:rPr>
        <w:t>贫困残疾人家庭无障碍改造资金（县级）项目绩效自评综述：根据年初设定的绩效目标，项目自评得分为99.94分。全年预算数为11万元，执行数为10.93万元，完成预算的99.36%。项目绩效目标完成情况：一是完成30户贫困残疾人家庭无障碍改造自筹项目；二是完成20户贫困残疾人家庭无障碍改造国家项目。发现的主要问题及原因：项目开始时间较晚，资金支付进度较慢。下一步改进措施：合理安排项目开展时间节点，加快项目资金支付进度，按照项目开展情况，分阶段支付资金。</w:t>
      </w:r>
    </w:p>
    <w:p>
      <w:pPr>
        <w:spacing w:line="220" w:lineRule="atLeast"/>
        <w:ind w:firstLine="560" w:firstLineChars="200"/>
        <w:rPr>
          <w:sz w:val="28"/>
          <w:szCs w:val="28"/>
        </w:rPr>
      </w:pPr>
      <w:r>
        <w:rPr>
          <w:rFonts w:hint="eastAsia"/>
          <w:sz w:val="28"/>
          <w:szCs w:val="28"/>
        </w:rPr>
        <w:t>残疾人数据动态更新（县级）项目绩效自评综述：根据年初设定的绩效目标，项目自评得分为95.1分。全年预算数为15万元，执行数为7.65万元，完成预算的51%。项目绩效目标完成情况：完成对全县持证残疾人基本信息及服务需求等数据的采集和更新。发现的主要问题及原因：数据采集工作量较大，项目进度较慢。下一步改进措施：改进数据采集方式方法，提高工作效率，加快项目进度。</w:t>
      </w:r>
    </w:p>
    <w:p>
      <w:pPr>
        <w:spacing w:line="220" w:lineRule="atLeast"/>
        <w:ind w:firstLine="560" w:firstLineChars="200"/>
        <w:rPr>
          <w:sz w:val="28"/>
          <w:szCs w:val="28"/>
        </w:rPr>
      </w:pPr>
      <w:r>
        <w:rPr>
          <w:rFonts w:hint="eastAsia"/>
          <w:sz w:val="28"/>
          <w:szCs w:val="28"/>
        </w:rPr>
        <w:t>助残日活动资金（县级）项目绩效自评综述：根据年初设定的绩效目标，项目自评得分为90.85分。全年预算数为6万元，执行数为4.74万元，完成预算的79%。项目绩效目标完成情况：一是为具有康复辅助器具需求的残疾人完成了辅具适配；二是达到了在社会形成扶残助残的良好氛围的宣传效果。发现的主要问题及原因：辅具及宣传资料预测需求与实际需求有偏差。下一步改进措施：项目开展前充分调研残疾人需求，合理预测。</w:t>
      </w:r>
    </w:p>
    <w:p>
      <w:pPr>
        <w:spacing w:line="220" w:lineRule="atLeast"/>
        <w:rPr>
          <w:sz w:val="28"/>
          <w:szCs w:val="28"/>
        </w:rPr>
      </w:pPr>
      <w:r>
        <w:rPr>
          <w:rFonts w:hint="eastAsia"/>
          <w:sz w:val="28"/>
          <w:szCs w:val="28"/>
        </w:rPr>
        <w:t>贫困残疾人家庭无障碍改造资金（县级）项目绩效自评价评分表</w:t>
      </w:r>
    </w:p>
    <w:p>
      <w:pPr>
        <w:spacing w:line="220" w:lineRule="atLeast"/>
        <w:jc w:val="center"/>
        <w:rPr>
          <w:sz w:val="28"/>
          <w:szCs w:val="28"/>
        </w:rPr>
      </w:pPr>
      <w:r>
        <w:rPr>
          <w:sz w:val="28"/>
          <w:szCs w:val="28"/>
        </w:rPr>
        <w:drawing>
          <wp:inline distT="0" distB="0" distL="114300" distR="114300">
            <wp:extent cx="5012690" cy="2381885"/>
            <wp:effectExtent l="0" t="0" r="16510" b="18415"/>
            <wp:docPr id="1" name="图片 1" descr="捕获"/>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捕获"/>
                    <pic:cNvPicPr>
                      <a:picLocks noChangeAspect="true"/>
                    </pic:cNvPicPr>
                  </pic:nvPicPr>
                  <pic:blipFill>
                    <a:blip r:embed="rId5" cstate="print"/>
                    <a:stretch>
                      <a:fillRect/>
                    </a:stretch>
                  </pic:blipFill>
                  <pic:spPr>
                    <a:xfrm>
                      <a:off x="0" y="0"/>
                      <a:ext cx="5012690" cy="2381885"/>
                    </a:xfrm>
                    <a:prstGeom prst="rect">
                      <a:avLst/>
                    </a:prstGeom>
                  </pic:spPr>
                </pic:pic>
              </a:graphicData>
            </a:graphic>
          </wp:inline>
        </w:drawing>
      </w:r>
    </w:p>
    <w:p>
      <w:pPr>
        <w:spacing w:line="220" w:lineRule="atLeast"/>
        <w:rPr>
          <w:sz w:val="28"/>
          <w:szCs w:val="28"/>
        </w:rPr>
      </w:pPr>
      <w:r>
        <w:rPr>
          <w:rFonts w:hint="eastAsia"/>
          <w:sz w:val="28"/>
          <w:szCs w:val="28"/>
        </w:rPr>
        <w:t>残疾人数据动态更新（县级）项目绩效自评价评分表</w:t>
      </w:r>
    </w:p>
    <w:p>
      <w:pPr>
        <w:spacing w:line="220" w:lineRule="atLeast"/>
        <w:jc w:val="center"/>
        <w:rPr>
          <w:sz w:val="28"/>
          <w:szCs w:val="28"/>
        </w:rPr>
      </w:pPr>
      <w:r>
        <w:rPr>
          <w:sz w:val="28"/>
          <w:szCs w:val="28"/>
        </w:rPr>
        <w:drawing>
          <wp:inline distT="0" distB="0" distL="114300" distR="114300">
            <wp:extent cx="4920615" cy="2431415"/>
            <wp:effectExtent l="0" t="0" r="13335" b="6985"/>
            <wp:docPr id="2" name="图片 2" descr="捕获"/>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捕获"/>
                    <pic:cNvPicPr>
                      <a:picLocks noChangeAspect="true"/>
                    </pic:cNvPicPr>
                  </pic:nvPicPr>
                  <pic:blipFill>
                    <a:blip r:embed="rId6" cstate="print"/>
                    <a:stretch>
                      <a:fillRect/>
                    </a:stretch>
                  </pic:blipFill>
                  <pic:spPr>
                    <a:xfrm>
                      <a:off x="0" y="0"/>
                      <a:ext cx="4920615" cy="2431415"/>
                    </a:xfrm>
                    <a:prstGeom prst="rect">
                      <a:avLst/>
                    </a:prstGeom>
                  </pic:spPr>
                </pic:pic>
              </a:graphicData>
            </a:graphic>
          </wp:inline>
        </w:drawing>
      </w:r>
    </w:p>
    <w:p>
      <w:pPr>
        <w:spacing w:line="220" w:lineRule="atLeast"/>
        <w:rPr>
          <w:sz w:val="28"/>
          <w:szCs w:val="28"/>
        </w:rPr>
      </w:pPr>
      <w:r>
        <w:rPr>
          <w:rFonts w:hint="eastAsia"/>
          <w:sz w:val="28"/>
          <w:szCs w:val="28"/>
        </w:rPr>
        <w:t>助残日活动资金（县级）项目绩效自评价评分表</w:t>
      </w:r>
    </w:p>
    <w:p>
      <w:pPr>
        <w:spacing w:line="220" w:lineRule="atLeast"/>
        <w:rPr>
          <w:sz w:val="28"/>
          <w:szCs w:val="28"/>
        </w:rPr>
      </w:pPr>
      <w:r>
        <w:drawing>
          <wp:inline distT="0" distB="0" distL="114300" distR="114300">
            <wp:extent cx="5267960" cy="3147695"/>
            <wp:effectExtent l="0" t="0" r="8890" b="14605"/>
            <wp:docPr id="5"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true"/>
                    </pic:cNvPicPr>
                  </pic:nvPicPr>
                  <pic:blipFill>
                    <a:blip r:embed="rId7" cstate="print"/>
                    <a:stretch>
                      <a:fillRect/>
                    </a:stretch>
                  </pic:blipFill>
                  <pic:spPr>
                    <a:xfrm>
                      <a:off x="0" y="0"/>
                      <a:ext cx="5267960" cy="3147695"/>
                    </a:xfrm>
                    <a:prstGeom prst="rect">
                      <a:avLst/>
                    </a:prstGeom>
                    <a:noFill/>
                    <a:ln>
                      <a:noFill/>
                    </a:ln>
                  </pic:spPr>
                </pic:pic>
              </a:graphicData>
            </a:graphic>
          </wp:inline>
        </w:drawing>
      </w:r>
    </w:p>
    <w:p>
      <w:pPr>
        <w:spacing w:line="220" w:lineRule="atLeast"/>
        <w:ind w:firstLine="562" w:firstLineChars="200"/>
        <w:rPr>
          <w:b/>
          <w:sz w:val="28"/>
          <w:szCs w:val="28"/>
        </w:rPr>
      </w:pPr>
      <w:r>
        <w:rPr>
          <w:rFonts w:hint="eastAsia"/>
          <w:b/>
          <w:sz w:val="28"/>
          <w:szCs w:val="28"/>
        </w:rPr>
        <w:t>（3）部门评价项目绩效评价结果</w:t>
      </w:r>
    </w:p>
    <w:p>
      <w:pPr>
        <w:pStyle w:val="13"/>
        <w:rPr>
          <w:lang w:val="en-US"/>
        </w:rPr>
      </w:pPr>
      <w:r>
        <w:rPr>
          <w:rFonts w:eastAsia="微软雅黑"/>
          <w:lang w:val="en-US"/>
        </w:rPr>
        <w:t>我单位本年度没有开展部门评价项目绩效评价</w:t>
      </w:r>
      <w:r>
        <w:rPr>
          <w:rFonts w:hint="eastAsia" w:eastAsia="微软雅黑"/>
          <w:lang w:val="en-US"/>
        </w:rPr>
        <w:t>。</w:t>
      </w:r>
    </w:p>
    <w:p>
      <w:pPr>
        <w:spacing w:line="220" w:lineRule="atLeast"/>
        <w:ind w:firstLine="421" w:firstLineChars="150"/>
        <w:rPr>
          <w:b/>
          <w:sz w:val="28"/>
          <w:szCs w:val="28"/>
        </w:rPr>
      </w:pPr>
      <w:r>
        <w:rPr>
          <w:rFonts w:hint="eastAsia"/>
          <w:b/>
          <w:sz w:val="28"/>
          <w:szCs w:val="28"/>
        </w:rPr>
        <w:t>（五）其他需要说明的事项</w:t>
      </w:r>
    </w:p>
    <w:p>
      <w:pPr>
        <w:ind w:firstLine="562" w:firstLineChars="200"/>
        <w:rPr>
          <w:rFonts w:ascii="微软雅黑" w:hAnsi="微软雅黑" w:cs="宋体"/>
          <w:color w:val="000000"/>
          <w:sz w:val="28"/>
          <w:szCs w:val="28"/>
        </w:rPr>
      </w:pPr>
      <w:r>
        <w:rPr>
          <w:rFonts w:hint="eastAsia"/>
          <w:b/>
          <w:sz w:val="28"/>
          <w:szCs w:val="28"/>
        </w:rPr>
        <w:t>1、培训费：</w:t>
      </w:r>
      <w:r>
        <w:rPr>
          <w:rFonts w:hint="eastAsia" w:ascii="微软雅黑" w:hAnsi="微软雅黑"/>
          <w:sz w:val="28"/>
          <w:szCs w:val="28"/>
        </w:rPr>
        <w:t>全</w:t>
      </w:r>
      <w:r>
        <w:rPr>
          <w:rFonts w:ascii="微软雅黑" w:hAnsi="微软雅黑"/>
          <w:sz w:val="28"/>
          <w:szCs w:val="28"/>
        </w:rPr>
        <w:t>年一般公共预算拨款安排的培训费决算</w:t>
      </w:r>
      <w:r>
        <w:rPr>
          <w:rFonts w:hint="eastAsia" w:ascii="微软雅黑" w:hAnsi="微软雅黑"/>
          <w:color w:val="000000"/>
          <w:sz w:val="28"/>
          <w:szCs w:val="28"/>
        </w:rPr>
        <w:t>年</w:t>
      </w:r>
      <w:r>
        <w:rPr>
          <w:rFonts w:hint="eastAsia" w:ascii="微软雅黑" w:hAnsi="微软雅黑"/>
          <w:sz w:val="28"/>
          <w:szCs w:val="28"/>
        </w:rPr>
        <w:t>初预算2.5万元，支出决算</w:t>
      </w:r>
      <w:r>
        <w:rPr>
          <w:rFonts w:hint="eastAsia" w:ascii="微软雅黑" w:hAnsi="微软雅黑" w:cs="宋体"/>
          <w:color w:val="000000"/>
          <w:sz w:val="28"/>
          <w:szCs w:val="28"/>
        </w:rPr>
        <w:t>0.19</w:t>
      </w:r>
      <w:r>
        <w:rPr>
          <w:rFonts w:hint="eastAsia" w:ascii="微软雅黑" w:hAnsi="微软雅黑"/>
          <w:sz w:val="28"/>
          <w:szCs w:val="28"/>
        </w:rPr>
        <w:t>万元，完成年初预算的7.6%</w:t>
      </w:r>
      <w:r>
        <w:rPr>
          <w:rFonts w:hint="eastAsia" w:ascii="微软雅黑" w:hAnsi="微软雅黑"/>
          <w:color w:val="000000"/>
          <w:sz w:val="28"/>
          <w:szCs w:val="28"/>
        </w:rPr>
        <w:t>，比上年减少12.26万元，减少98.47%，原因是我单位2021年度培训项目较上年大幅减少</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年度全年组织培训</w:t>
      </w:r>
      <w:r>
        <w:rPr>
          <w:rFonts w:hint="eastAsia" w:ascii="微软雅黑" w:hAnsi="微软雅黑"/>
          <w:sz w:val="28"/>
          <w:szCs w:val="28"/>
        </w:rPr>
        <w:t>1</w:t>
      </w:r>
      <w:r>
        <w:rPr>
          <w:rFonts w:ascii="微软雅黑" w:hAnsi="微软雅黑"/>
          <w:sz w:val="28"/>
          <w:szCs w:val="28"/>
        </w:rPr>
        <w:t>个，组织培训</w:t>
      </w:r>
      <w:r>
        <w:rPr>
          <w:rFonts w:hint="eastAsia" w:ascii="微软雅黑" w:hAnsi="微软雅黑"/>
          <w:sz w:val="28"/>
          <w:szCs w:val="28"/>
        </w:rPr>
        <w:t>32</w:t>
      </w:r>
      <w:r>
        <w:rPr>
          <w:rFonts w:ascii="微软雅黑" w:hAnsi="微软雅黑"/>
          <w:sz w:val="28"/>
          <w:szCs w:val="28"/>
        </w:rPr>
        <w:t>人次。主要为培训</w:t>
      </w:r>
      <w:r>
        <w:rPr>
          <w:rFonts w:hint="eastAsia" w:ascii="微软雅黑" w:hAnsi="微软雅黑"/>
          <w:sz w:val="28"/>
          <w:szCs w:val="28"/>
        </w:rPr>
        <w:t>残疾人数据动态更新</w:t>
      </w:r>
      <w:r>
        <w:rPr>
          <w:rFonts w:ascii="微软雅黑" w:hAnsi="微软雅黑"/>
          <w:sz w:val="28"/>
          <w:szCs w:val="28"/>
        </w:rPr>
        <w:t>。</w:t>
      </w:r>
    </w:p>
    <w:tbl>
      <w:tblPr>
        <w:tblStyle w:val="7"/>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2.5</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0.19</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12.45</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-12.26</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7.6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-98.47</w:t>
            </w:r>
          </w:p>
        </w:tc>
      </w:tr>
    </w:tbl>
    <w:p>
      <w:pPr>
        <w:rPr>
          <w:rFonts w:ascii="仿宋_GB2312" w:hAnsi="楷体" w:eastAsia="仿宋_GB2312"/>
          <w:b/>
          <w:sz w:val="32"/>
          <w:szCs w:val="32"/>
        </w:rPr>
      </w:pPr>
    </w:p>
    <w:p>
      <w:pPr>
        <w:ind w:firstLine="562" w:firstLineChars="200"/>
        <w:rPr>
          <w:rFonts w:ascii="微软雅黑" w:hAnsi="微软雅黑" w:cs="宋体"/>
          <w:color w:val="000000"/>
          <w:sz w:val="28"/>
          <w:szCs w:val="28"/>
        </w:rPr>
      </w:pPr>
      <w:r>
        <w:rPr>
          <w:rFonts w:hint="eastAsia" w:ascii="微软雅黑" w:hAnsi="微软雅黑"/>
          <w:b/>
          <w:sz w:val="28"/>
          <w:szCs w:val="28"/>
        </w:rPr>
        <w:t>2、会议费：</w:t>
      </w:r>
      <w:r>
        <w:rPr>
          <w:rFonts w:hint="eastAsia" w:ascii="微软雅黑" w:hAnsi="微软雅黑"/>
          <w:sz w:val="28"/>
          <w:szCs w:val="28"/>
        </w:rPr>
        <w:t>全年</w:t>
      </w:r>
      <w:r>
        <w:rPr>
          <w:rFonts w:ascii="微软雅黑" w:hAnsi="微软雅黑"/>
          <w:sz w:val="28"/>
          <w:szCs w:val="28"/>
        </w:rPr>
        <w:t>一般公共预算拨款安排的会议费</w:t>
      </w:r>
      <w:r>
        <w:rPr>
          <w:rFonts w:hint="eastAsia" w:ascii="微软雅黑" w:hAnsi="微软雅黑"/>
          <w:color w:val="000000"/>
          <w:sz w:val="28"/>
          <w:szCs w:val="28"/>
        </w:rPr>
        <w:t>年</w:t>
      </w:r>
      <w:r>
        <w:rPr>
          <w:rFonts w:hint="eastAsia" w:ascii="微软雅黑" w:hAnsi="微软雅黑"/>
          <w:sz w:val="28"/>
          <w:szCs w:val="28"/>
        </w:rPr>
        <w:t>初预算0.2万元，支出决算</w:t>
      </w:r>
      <w:r>
        <w:rPr>
          <w:rFonts w:hint="eastAsia" w:ascii="微软雅黑" w:hAnsi="微软雅黑" w:cs="宋体"/>
          <w:color w:val="000000"/>
          <w:sz w:val="28"/>
          <w:szCs w:val="28"/>
        </w:rPr>
        <w:t>0.19</w:t>
      </w:r>
      <w:r>
        <w:rPr>
          <w:rFonts w:hint="eastAsia" w:ascii="微软雅黑" w:hAnsi="微软雅黑"/>
          <w:sz w:val="28"/>
          <w:szCs w:val="28"/>
        </w:rPr>
        <w:t>万元，完成年初预算的95%</w:t>
      </w:r>
      <w:r>
        <w:rPr>
          <w:rFonts w:hint="eastAsia" w:ascii="微软雅黑" w:hAnsi="微软雅黑"/>
          <w:color w:val="000000"/>
          <w:sz w:val="28"/>
          <w:szCs w:val="28"/>
        </w:rPr>
        <w:t>，比上年减少0.29万元，减少60.42%，原因是我单位2021年度会议次数减少，会议规模缩减</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年度全年召开会议</w:t>
      </w:r>
      <w:r>
        <w:rPr>
          <w:rFonts w:hint="eastAsia" w:ascii="微软雅黑" w:hAnsi="微软雅黑"/>
          <w:color w:val="000000"/>
          <w:sz w:val="28"/>
          <w:szCs w:val="28"/>
        </w:rPr>
        <w:t>1</w:t>
      </w:r>
      <w:r>
        <w:rPr>
          <w:rFonts w:ascii="微软雅黑" w:hAnsi="微软雅黑"/>
          <w:sz w:val="28"/>
          <w:szCs w:val="28"/>
        </w:rPr>
        <w:t>个，参加会议</w:t>
      </w:r>
      <w:r>
        <w:rPr>
          <w:rFonts w:hint="eastAsia" w:ascii="微软雅黑" w:hAnsi="微软雅黑"/>
          <w:color w:val="000000"/>
          <w:sz w:val="28"/>
          <w:szCs w:val="28"/>
        </w:rPr>
        <w:t>34</w:t>
      </w:r>
      <w:r>
        <w:rPr>
          <w:rFonts w:ascii="微软雅黑" w:hAnsi="微软雅黑"/>
          <w:sz w:val="28"/>
          <w:szCs w:val="28"/>
        </w:rPr>
        <w:t>人次。主要为召开</w:t>
      </w:r>
      <w:r>
        <w:rPr>
          <w:rFonts w:hint="eastAsia" w:ascii="微软雅黑" w:hAnsi="微软雅黑"/>
          <w:sz w:val="28"/>
          <w:szCs w:val="28"/>
        </w:rPr>
        <w:t>平顺县残疾人联合会七届主席团第二次会议</w:t>
      </w:r>
      <w:r>
        <w:rPr>
          <w:rFonts w:ascii="微软雅黑" w:hAnsi="微软雅黑"/>
          <w:sz w:val="28"/>
          <w:szCs w:val="28"/>
        </w:rPr>
        <w:t>。</w:t>
      </w:r>
    </w:p>
    <w:tbl>
      <w:tblPr>
        <w:tblStyle w:val="7"/>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会议费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0.2</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0.19</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0.48</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-0.29</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95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-60.42</w:t>
            </w:r>
          </w:p>
        </w:tc>
      </w:tr>
    </w:tbl>
    <w:p>
      <w:pPr>
        <w:ind w:firstLine="636"/>
        <w:rPr>
          <w:rFonts w:ascii="仿宋_GB2312" w:hAnsi="仿宋" w:eastAsia="仿宋_GB2312"/>
          <w:sz w:val="32"/>
          <w:szCs w:val="32"/>
        </w:rPr>
      </w:pPr>
    </w:p>
    <w:p>
      <w:pPr>
        <w:spacing w:line="220" w:lineRule="atLeast"/>
        <w:ind w:firstLine="421" w:firstLineChars="150"/>
        <w:rPr>
          <w:rFonts w:ascii="仿宋_GB2312" w:hAnsi="仿宋" w:eastAsia="仿宋_GB2312"/>
          <w:b/>
          <w:sz w:val="32"/>
          <w:szCs w:val="32"/>
        </w:rPr>
      </w:pPr>
      <w:r>
        <w:rPr>
          <w:rFonts w:hint="eastAsia"/>
          <w:b/>
          <w:sz w:val="28"/>
          <w:szCs w:val="28"/>
        </w:rPr>
        <w:t>3、其他需要说明的事项</w:t>
      </w:r>
    </w:p>
    <w:p>
      <w:pPr>
        <w:spacing w:line="220" w:lineRule="atLeast"/>
        <w:ind w:firstLine="420" w:firstLineChars="150"/>
        <w:rPr>
          <w:rFonts w:ascii="仿宋_GB2312" w:hAnsi="仿宋" w:eastAsia="仿宋_GB2312"/>
          <w:sz w:val="32"/>
          <w:szCs w:val="32"/>
        </w:rPr>
      </w:pPr>
      <w:r>
        <w:rPr>
          <w:rFonts w:hint="eastAsia" w:ascii="微软雅黑" w:hAnsi="微软雅黑"/>
          <w:sz w:val="28"/>
          <w:szCs w:val="28"/>
        </w:rPr>
        <w:t>我</w:t>
      </w:r>
      <w:r>
        <w:rPr>
          <w:rFonts w:hint="eastAsia"/>
          <w:sz w:val="28"/>
          <w:szCs w:val="28"/>
        </w:rPr>
        <w:t>单位无其他需要说明的事项。</w:t>
      </w:r>
    </w:p>
    <w:p>
      <w:pPr>
        <w:spacing w:line="220" w:lineRule="atLeast"/>
        <w:rPr>
          <w:b/>
          <w:sz w:val="28"/>
          <w:szCs w:val="28"/>
        </w:rPr>
      </w:pPr>
      <w:r>
        <w:rPr>
          <w:rFonts w:hint="eastAsia"/>
          <w:b/>
          <w:sz w:val="28"/>
          <w:szCs w:val="28"/>
        </w:rPr>
        <w:t>第四部分 名词解释</w:t>
      </w:r>
    </w:p>
    <w:p>
      <w:pPr>
        <w:spacing w:line="220" w:lineRule="atLeast"/>
        <w:ind w:firstLine="560" w:firstLineChars="200"/>
        <w:rPr>
          <w:sz w:val="28"/>
          <w:szCs w:val="28"/>
        </w:rPr>
      </w:pPr>
      <w:r>
        <w:rPr>
          <w:rFonts w:hint="eastAsia"/>
          <w:sz w:val="28"/>
          <w:szCs w:val="28"/>
        </w:rPr>
        <w:t>部门应当按照部门预算管理要求，对本部门涉及的专业名词进行解释。</w:t>
      </w:r>
    </w:p>
    <w:p>
      <w:pPr>
        <w:spacing w:line="220" w:lineRule="atLeast"/>
        <w:ind w:firstLine="562" w:firstLineChars="200"/>
        <w:rPr>
          <w:sz w:val="28"/>
          <w:szCs w:val="28"/>
        </w:rPr>
      </w:pPr>
      <w:r>
        <w:rPr>
          <w:rFonts w:hint="eastAsia"/>
          <w:b/>
          <w:sz w:val="28"/>
          <w:szCs w:val="28"/>
        </w:rPr>
        <w:t>一、财政拨款收入：</w:t>
      </w:r>
      <w:r>
        <w:rPr>
          <w:rFonts w:hint="eastAsia"/>
          <w:sz w:val="28"/>
          <w:szCs w:val="28"/>
        </w:rPr>
        <w:t>指单位从同级财政部门取得的财政预算资金。</w:t>
      </w:r>
    </w:p>
    <w:p>
      <w:pPr>
        <w:spacing w:line="220" w:lineRule="atLeast"/>
        <w:ind w:firstLine="562" w:firstLineChars="200"/>
        <w:rPr>
          <w:sz w:val="28"/>
          <w:szCs w:val="28"/>
        </w:rPr>
      </w:pPr>
      <w:r>
        <w:rPr>
          <w:rFonts w:hint="eastAsia"/>
          <w:b/>
          <w:sz w:val="28"/>
          <w:szCs w:val="28"/>
        </w:rPr>
        <w:t>二、事业收入：</w:t>
      </w:r>
      <w:r>
        <w:rPr>
          <w:rFonts w:hint="eastAsia"/>
          <w:sz w:val="28"/>
          <w:szCs w:val="28"/>
        </w:rPr>
        <w:t>指事业单位开展专业业务活动及辅助活动取得的收入。</w:t>
      </w:r>
    </w:p>
    <w:p>
      <w:pPr>
        <w:spacing w:line="220" w:lineRule="atLeast"/>
        <w:ind w:firstLine="562" w:firstLineChars="20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pPr>
        <w:spacing w:line="220" w:lineRule="atLeast"/>
        <w:ind w:firstLine="562" w:firstLineChars="20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pPr>
        <w:spacing w:line="220" w:lineRule="atLeast"/>
        <w:ind w:firstLine="562" w:firstLineChars="20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pPr>
        <w:spacing w:line="220" w:lineRule="atLeast"/>
        <w:ind w:firstLine="562" w:firstLineChars="20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pPr>
        <w:spacing w:line="220" w:lineRule="atLeast"/>
        <w:ind w:firstLine="562" w:firstLineChars="20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pPr>
        <w:spacing w:line="220" w:lineRule="atLeast"/>
        <w:ind w:firstLine="562" w:firstLineChars="20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pPr>
        <w:spacing w:line="220" w:lineRule="atLeast"/>
        <w:ind w:firstLine="562" w:firstLineChars="20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pPr>
        <w:spacing w:line="220" w:lineRule="atLeast"/>
        <w:ind w:firstLine="562" w:firstLineChars="20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pPr>
        <w:spacing w:line="220" w:lineRule="atLeast"/>
        <w:ind w:firstLine="562" w:firstLineChars="20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220" w:lineRule="atLeast"/>
        <w:ind w:firstLine="562" w:firstLineChars="20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pPr>
        <w:autoSpaceDE w:val="0"/>
        <w:autoSpaceDN w:val="0"/>
        <w:ind w:firstLine="562" w:firstLineChars="200"/>
        <w:rPr>
          <w:rFonts w:ascii="仿宋_GB2312" w:hAnsi="仿宋" w:eastAsia="仿宋_GB2312"/>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ind w:firstLine="562" w:firstLineChars="200"/>
        <w:rPr>
          <w:rFonts w:ascii="仿宋_GB2312" w:hAnsi="仿宋" w:eastAsia="仿宋_GB2312"/>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ind w:firstLine="562" w:firstLineChars="200"/>
        <w:rPr>
          <w:rFonts w:ascii="仿宋_GB2312" w:hAnsi="仿宋" w:eastAsia="仿宋_GB2312"/>
          <w:sz w:val="32"/>
          <w:szCs w:val="32"/>
        </w:rPr>
      </w:pPr>
      <w:r>
        <w:rPr>
          <w:rFonts w:hint="eastAsia"/>
          <w:b/>
          <w:sz w:val="28"/>
          <w:szCs w:val="28"/>
        </w:rPr>
        <w:t>十五、</w:t>
      </w:r>
      <w:r>
        <w:rPr>
          <w:b/>
          <w:sz w:val="28"/>
          <w:szCs w:val="28"/>
        </w:rPr>
        <w:t>公用经费</w:t>
      </w:r>
      <w:r>
        <w:rPr>
          <w:rFonts w:hint="eastAsia"/>
          <w:b/>
          <w:sz w:val="28"/>
          <w:szCs w:val="28"/>
        </w:rPr>
        <w:t>：</w:t>
      </w:r>
      <w:r>
        <w:rPr>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autoSpaceDE w:val="0"/>
        <w:autoSpaceDN w:val="0"/>
        <w:ind w:firstLine="562" w:firstLineChars="200"/>
        <w:rPr>
          <w:rFonts w:ascii="仿宋_GB2312" w:hAnsi="仿宋" w:eastAsia="仿宋_GB2312"/>
          <w:sz w:val="32"/>
          <w:szCs w:val="32"/>
        </w:rPr>
      </w:pPr>
      <w:r>
        <w:rPr>
          <w:rFonts w:hint="eastAsia"/>
          <w:b/>
          <w:sz w:val="28"/>
          <w:szCs w:val="28"/>
        </w:rPr>
        <w:t>十六、一般公共服务支出：</w:t>
      </w:r>
      <w:r>
        <w:rPr>
          <w:rFonts w:hint="eastAsia"/>
          <w:sz w:val="28"/>
          <w:szCs w:val="28"/>
        </w:rPr>
        <w:t>指主要用于保障机关事业单位正常运转，支持各机关单位履行职能，保障各机关部门的项目的支出。</w:t>
      </w:r>
    </w:p>
    <w:p>
      <w:pPr>
        <w:autoSpaceDE w:val="0"/>
        <w:autoSpaceDN w:val="0"/>
        <w:ind w:firstLine="562" w:firstLineChars="200"/>
        <w:rPr>
          <w:sz w:val="28"/>
          <w:szCs w:val="28"/>
        </w:rPr>
      </w:pPr>
      <w:r>
        <w:rPr>
          <w:rFonts w:hint="eastAsia"/>
          <w:b/>
          <w:sz w:val="28"/>
          <w:szCs w:val="28"/>
        </w:rPr>
        <w:t>十七、社会保障和就业支出：</w:t>
      </w:r>
      <w:r>
        <w:rPr>
          <w:rFonts w:hint="eastAsia"/>
          <w:sz w:val="28"/>
          <w:szCs w:val="28"/>
        </w:rPr>
        <w:t>指单位在社会保障与就业方面的支出。</w:t>
      </w:r>
    </w:p>
    <w:p>
      <w:pPr>
        <w:autoSpaceDE w:val="0"/>
        <w:autoSpaceDN w:val="0"/>
        <w:ind w:firstLine="562" w:firstLineChars="200"/>
        <w:rPr>
          <w:sz w:val="28"/>
          <w:szCs w:val="28"/>
        </w:rPr>
      </w:pPr>
      <w:r>
        <w:rPr>
          <w:rFonts w:hint="eastAsia"/>
          <w:b/>
          <w:sz w:val="28"/>
          <w:szCs w:val="28"/>
        </w:rPr>
        <w:t>十八、卫生健康支出：</w:t>
      </w:r>
      <w:r>
        <w:rPr>
          <w:rFonts w:hint="eastAsia"/>
          <w:sz w:val="28"/>
          <w:szCs w:val="28"/>
        </w:rPr>
        <w:t>指单位卫生健康方面的支出。</w:t>
      </w:r>
    </w:p>
    <w:p>
      <w:pPr>
        <w:autoSpaceDE w:val="0"/>
        <w:autoSpaceDN w:val="0"/>
        <w:ind w:firstLine="562" w:firstLineChars="200"/>
        <w:rPr>
          <w:sz w:val="28"/>
          <w:szCs w:val="28"/>
        </w:rPr>
      </w:pPr>
      <w:r>
        <w:rPr>
          <w:rFonts w:hint="eastAsia"/>
          <w:b/>
          <w:sz w:val="28"/>
          <w:szCs w:val="28"/>
        </w:rPr>
        <w:t>十九、住房保障支出：</w:t>
      </w:r>
      <w:r>
        <w:rPr>
          <w:rFonts w:hint="eastAsia"/>
          <w:sz w:val="28"/>
          <w:szCs w:val="28"/>
        </w:rPr>
        <w:t>指单位按人力资源和社会保障部、财政部规定的基本工资和津贴补贴以及规定比例为职工缴纳的住房公积金。</w:t>
      </w:r>
    </w:p>
    <w:p>
      <w:pPr>
        <w:spacing w:line="220" w:lineRule="atLeast"/>
        <w:rPr>
          <w:sz w:val="28"/>
          <w:szCs w:val="28"/>
        </w:rPr>
      </w:pPr>
      <w:r>
        <w:rPr>
          <w:rFonts w:hint="eastAsia"/>
          <w:b/>
          <w:sz w:val="28"/>
          <w:szCs w:val="28"/>
        </w:rPr>
        <w:t>第五部分 附件</w:t>
      </w:r>
    </w:p>
    <w:p>
      <w:pPr>
        <w:spacing w:line="220" w:lineRule="atLeast"/>
        <w:ind w:firstLine="560" w:firstLineChars="200"/>
        <w:rPr>
          <w:sz w:val="28"/>
          <w:szCs w:val="28"/>
        </w:rPr>
      </w:pPr>
      <w:r>
        <w:rPr>
          <w:rFonts w:hint="eastAsia"/>
          <w:sz w:val="28"/>
          <w:szCs w:val="28"/>
        </w:rPr>
        <w:t>我单位2021年度没有其他需要说明的事项。</w:t>
      </w:r>
    </w:p>
    <w:p>
      <w:pPr>
        <w:spacing w:line="220" w:lineRule="atLeast"/>
        <w:rPr>
          <w:sz w:val="28"/>
          <w:szCs w:val="28"/>
        </w:rPr>
      </w:pPr>
    </w:p>
    <w:p>
      <w:pPr>
        <w:spacing w:line="220" w:lineRule="atLeast"/>
        <w:rPr>
          <w:sz w:val="28"/>
          <w:szCs w:val="28"/>
        </w:rPr>
        <w:sectPr>
          <w:footerReference r:id="rId3" w:type="default"/>
          <w:pgSz w:w="11906" w:h="16838"/>
          <w:pgMar w:top="1440" w:right="1800" w:bottom="1440" w:left="1800" w:header="708" w:footer="708" w:gutter="0"/>
          <w:pgNumType w:start="1"/>
          <w:cols w:space="708" w:num="1"/>
          <w:docGrid w:linePitch="360" w:charSpace="0"/>
        </w:sectPr>
      </w:pPr>
    </w:p>
    <w:p>
      <w:pPr>
        <w:spacing w:line="220" w:lineRule="atLeast"/>
        <w:rPr>
          <w:b/>
          <w:sz w:val="28"/>
          <w:szCs w:val="28"/>
        </w:rPr>
      </w:pP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200101FF" w:csb1="2028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0000000000000000000"/>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17</w:t>
                          </w:r>
                          <w:r>
                            <w:fldChar w:fldCharType="end"/>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NX2FO+1AQAAVAMAAA4AAAAAAAAAAQAgAAAANAEAAGRycy9lMm9E&#10;b2MueG1sUEsFBgAAAAAGAAYAWQEAAFs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720"/>
  <w:characterSpacingControl w:val="doNotCompress"/>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OGE4YzMzYjI1ZmI5YzEzNjI5OGI0NjY0YTA3ZjUifQ=="/>
  </w:docVars>
  <w:rsids>
    <w:rsidRoot w:val="00D31D50"/>
    <w:rsid w:val="000034DB"/>
    <w:rsid w:val="00015092"/>
    <w:rsid w:val="0005715E"/>
    <w:rsid w:val="00065A92"/>
    <w:rsid w:val="000A5B5D"/>
    <w:rsid w:val="000B4C5F"/>
    <w:rsid w:val="000B6182"/>
    <w:rsid w:val="000C4302"/>
    <w:rsid w:val="000D30E1"/>
    <w:rsid w:val="00112EF7"/>
    <w:rsid w:val="001151FD"/>
    <w:rsid w:val="00116783"/>
    <w:rsid w:val="00130F93"/>
    <w:rsid w:val="00137AEF"/>
    <w:rsid w:val="0014259E"/>
    <w:rsid w:val="00150E25"/>
    <w:rsid w:val="001625CD"/>
    <w:rsid w:val="00180459"/>
    <w:rsid w:val="00182E6D"/>
    <w:rsid w:val="001A555A"/>
    <w:rsid w:val="001B4B3F"/>
    <w:rsid w:val="001D282C"/>
    <w:rsid w:val="001F6417"/>
    <w:rsid w:val="0022359D"/>
    <w:rsid w:val="00234B1B"/>
    <w:rsid w:val="00250955"/>
    <w:rsid w:val="00257132"/>
    <w:rsid w:val="00261980"/>
    <w:rsid w:val="00280E08"/>
    <w:rsid w:val="002B5A91"/>
    <w:rsid w:val="002C1613"/>
    <w:rsid w:val="00323B43"/>
    <w:rsid w:val="0032692D"/>
    <w:rsid w:val="00331879"/>
    <w:rsid w:val="00345A54"/>
    <w:rsid w:val="00346E9C"/>
    <w:rsid w:val="0034710F"/>
    <w:rsid w:val="003567F3"/>
    <w:rsid w:val="00375439"/>
    <w:rsid w:val="00391C06"/>
    <w:rsid w:val="003A3622"/>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F2386"/>
    <w:rsid w:val="004F3BD3"/>
    <w:rsid w:val="00534286"/>
    <w:rsid w:val="00586AAF"/>
    <w:rsid w:val="00587E89"/>
    <w:rsid w:val="005D49F3"/>
    <w:rsid w:val="005E4446"/>
    <w:rsid w:val="005F5CEF"/>
    <w:rsid w:val="005F7A3E"/>
    <w:rsid w:val="0060630C"/>
    <w:rsid w:val="006138A3"/>
    <w:rsid w:val="00626F0F"/>
    <w:rsid w:val="00632EB9"/>
    <w:rsid w:val="00642893"/>
    <w:rsid w:val="006771DA"/>
    <w:rsid w:val="00697D2E"/>
    <w:rsid w:val="006B5051"/>
    <w:rsid w:val="006C6B8A"/>
    <w:rsid w:val="006D1676"/>
    <w:rsid w:val="006D1A65"/>
    <w:rsid w:val="006D641F"/>
    <w:rsid w:val="00704A94"/>
    <w:rsid w:val="007144CD"/>
    <w:rsid w:val="007313E8"/>
    <w:rsid w:val="00757151"/>
    <w:rsid w:val="00760958"/>
    <w:rsid w:val="00773998"/>
    <w:rsid w:val="007816A0"/>
    <w:rsid w:val="007917B1"/>
    <w:rsid w:val="007A3408"/>
    <w:rsid w:val="007C53C5"/>
    <w:rsid w:val="00802B59"/>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123D"/>
    <w:rsid w:val="00914AA8"/>
    <w:rsid w:val="0092060B"/>
    <w:rsid w:val="00922A35"/>
    <w:rsid w:val="009308A6"/>
    <w:rsid w:val="00943B0A"/>
    <w:rsid w:val="0096078A"/>
    <w:rsid w:val="009669AE"/>
    <w:rsid w:val="0097038A"/>
    <w:rsid w:val="009A533E"/>
    <w:rsid w:val="009A5671"/>
    <w:rsid w:val="009A6452"/>
    <w:rsid w:val="009C4F82"/>
    <w:rsid w:val="009D6C64"/>
    <w:rsid w:val="00A46367"/>
    <w:rsid w:val="00A61FAF"/>
    <w:rsid w:val="00A73E29"/>
    <w:rsid w:val="00A76713"/>
    <w:rsid w:val="00A86E94"/>
    <w:rsid w:val="00AD7358"/>
    <w:rsid w:val="00AD7F7B"/>
    <w:rsid w:val="00AE1E0B"/>
    <w:rsid w:val="00AF1714"/>
    <w:rsid w:val="00AF73B7"/>
    <w:rsid w:val="00B05C60"/>
    <w:rsid w:val="00B11481"/>
    <w:rsid w:val="00B24AE1"/>
    <w:rsid w:val="00B81AA3"/>
    <w:rsid w:val="00B87AD6"/>
    <w:rsid w:val="00B945EF"/>
    <w:rsid w:val="00B96867"/>
    <w:rsid w:val="00B969B8"/>
    <w:rsid w:val="00BD3FF2"/>
    <w:rsid w:val="00BE7EBF"/>
    <w:rsid w:val="00C03799"/>
    <w:rsid w:val="00C11733"/>
    <w:rsid w:val="00C12E0D"/>
    <w:rsid w:val="00C3223F"/>
    <w:rsid w:val="00C3277B"/>
    <w:rsid w:val="00C331AD"/>
    <w:rsid w:val="00C440E2"/>
    <w:rsid w:val="00C46175"/>
    <w:rsid w:val="00C52272"/>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B2286"/>
    <w:rsid w:val="00DC2F17"/>
    <w:rsid w:val="00DC4049"/>
    <w:rsid w:val="00DF7E48"/>
    <w:rsid w:val="00E173C3"/>
    <w:rsid w:val="00E2388E"/>
    <w:rsid w:val="00E34FA3"/>
    <w:rsid w:val="00E72552"/>
    <w:rsid w:val="00E751B6"/>
    <w:rsid w:val="00E75761"/>
    <w:rsid w:val="00E92F6D"/>
    <w:rsid w:val="00EC3B89"/>
    <w:rsid w:val="00EC6A3F"/>
    <w:rsid w:val="00EF6880"/>
    <w:rsid w:val="00F03A02"/>
    <w:rsid w:val="00F20B6E"/>
    <w:rsid w:val="00F30906"/>
    <w:rsid w:val="00F3245B"/>
    <w:rsid w:val="00F41066"/>
    <w:rsid w:val="00F646A3"/>
    <w:rsid w:val="00F90000"/>
    <w:rsid w:val="00FA0D4A"/>
    <w:rsid w:val="00FA3F9F"/>
    <w:rsid w:val="00FC472E"/>
    <w:rsid w:val="00FC523D"/>
    <w:rsid w:val="00FD26CE"/>
    <w:rsid w:val="00FE3D82"/>
    <w:rsid w:val="00FE6260"/>
    <w:rsid w:val="00FF39E1"/>
    <w:rsid w:val="00FF597A"/>
    <w:rsid w:val="00FF740D"/>
    <w:rsid w:val="0170404F"/>
    <w:rsid w:val="069D0E71"/>
    <w:rsid w:val="0ADB2363"/>
    <w:rsid w:val="0E1D5F25"/>
    <w:rsid w:val="10FD5655"/>
    <w:rsid w:val="11F528ED"/>
    <w:rsid w:val="1318567E"/>
    <w:rsid w:val="1B3A2F9D"/>
    <w:rsid w:val="1F15268C"/>
    <w:rsid w:val="1F7F6540"/>
    <w:rsid w:val="20173F1C"/>
    <w:rsid w:val="210C7026"/>
    <w:rsid w:val="2302328B"/>
    <w:rsid w:val="23512A35"/>
    <w:rsid w:val="247A7E58"/>
    <w:rsid w:val="25AF3FEA"/>
    <w:rsid w:val="272E638C"/>
    <w:rsid w:val="2A2F70EB"/>
    <w:rsid w:val="2EED4503"/>
    <w:rsid w:val="32006648"/>
    <w:rsid w:val="32A1118D"/>
    <w:rsid w:val="34277B98"/>
    <w:rsid w:val="37E56D1F"/>
    <w:rsid w:val="384C45DC"/>
    <w:rsid w:val="3AD538F1"/>
    <w:rsid w:val="3C8B562E"/>
    <w:rsid w:val="3ED30286"/>
    <w:rsid w:val="3F480C50"/>
    <w:rsid w:val="3FDE47FB"/>
    <w:rsid w:val="42CF621D"/>
    <w:rsid w:val="44A65B4E"/>
    <w:rsid w:val="480E2A6B"/>
    <w:rsid w:val="484C0CE3"/>
    <w:rsid w:val="49697FE1"/>
    <w:rsid w:val="4C5F4291"/>
    <w:rsid w:val="4E6F075D"/>
    <w:rsid w:val="529D0346"/>
    <w:rsid w:val="55564809"/>
    <w:rsid w:val="55D56DF4"/>
    <w:rsid w:val="56367867"/>
    <w:rsid w:val="57DF45B3"/>
    <w:rsid w:val="5A5A7965"/>
    <w:rsid w:val="5AF3775D"/>
    <w:rsid w:val="5F2163D4"/>
    <w:rsid w:val="630A6A2F"/>
    <w:rsid w:val="6E976FD4"/>
    <w:rsid w:val="72506C5C"/>
    <w:rsid w:val="72A60DEA"/>
    <w:rsid w:val="73B61D0A"/>
    <w:rsid w:val="73FB189A"/>
    <w:rsid w:val="75044C0E"/>
    <w:rsid w:val="7A9A0821"/>
    <w:rsid w:val="7ABD313E"/>
    <w:rsid w:val="7B4E3A70"/>
    <w:rsid w:val="7B857D2E"/>
    <w:rsid w:val="7F5B2ED7"/>
    <w:rsid w:val="ECB654E9"/>
    <w:rsid w:val="F6FFB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lang w:val="zh-CN"/>
    </w:rPr>
  </w:style>
  <w:style w:type="paragraph" w:styleId="3">
    <w:name w:val="heading 3"/>
    <w:basedOn w:val="1"/>
    <w:next w:val="1"/>
    <w:qFormat/>
    <w:uiPriority w:val="9"/>
    <w:pPr>
      <w:keepNext/>
      <w:keepLines/>
      <w:spacing w:before="260" w:after="260" w:line="416" w:lineRule="auto"/>
      <w:outlineLvl w:val="2"/>
    </w:pPr>
    <w:rPr>
      <w:b/>
      <w:bCs/>
      <w:sz w:val="32"/>
      <w:szCs w:val="32"/>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pPr>
    <w:rPr>
      <w:sz w:val="18"/>
      <w:szCs w:val="18"/>
    </w:rPr>
  </w:style>
  <w:style w:type="paragraph" w:styleId="5">
    <w:name w:val="footer"/>
    <w:basedOn w:val="1"/>
    <w:link w:val="10"/>
    <w:semiHidden/>
    <w:unhideWhenUsed/>
    <w:qFormat/>
    <w:uiPriority w:val="99"/>
    <w:pPr>
      <w:tabs>
        <w:tab w:val="center" w:pos="4153"/>
        <w:tab w:val="right" w:pos="8306"/>
      </w:tabs>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9">
    <w:name w:val="页眉 Char"/>
    <w:basedOn w:val="8"/>
    <w:link w:val="6"/>
    <w:semiHidden/>
    <w:qFormat/>
    <w:uiPriority w:val="99"/>
    <w:rPr>
      <w:rFonts w:ascii="Tahoma" w:hAnsi="Tahoma"/>
      <w:sz w:val="18"/>
      <w:szCs w:val="18"/>
    </w:rPr>
  </w:style>
  <w:style w:type="character" w:customStyle="1" w:styleId="10">
    <w:name w:val="页脚 Char"/>
    <w:basedOn w:val="8"/>
    <w:link w:val="5"/>
    <w:semiHidden/>
    <w:qFormat/>
    <w:uiPriority w:val="99"/>
    <w:rPr>
      <w:rFonts w:ascii="Tahoma" w:hAnsi="Tahoma"/>
      <w:sz w:val="18"/>
      <w:szCs w:val="18"/>
    </w:rPr>
  </w:style>
  <w:style w:type="paragraph" w:customStyle="1" w:styleId="11">
    <w:name w:val="闻政标题3"/>
    <w:basedOn w:val="3"/>
    <w:qFormat/>
    <w:uiPriority w:val="0"/>
    <w:pPr>
      <w:spacing w:before="120" w:after="60" w:line="500" w:lineRule="exact"/>
      <w:outlineLvl w:val="0"/>
    </w:pPr>
    <w:rPr>
      <w:rFonts w:ascii="黑体" w:hAnsi="黑体" w:eastAsia="黑体"/>
      <w:b w:val="0"/>
    </w:rPr>
  </w:style>
  <w:style w:type="paragraph" w:customStyle="1" w:styleId="12">
    <w:name w:val="闻政标题4"/>
    <w:basedOn w:val="2"/>
    <w:qFormat/>
    <w:uiPriority w:val="0"/>
    <w:pPr>
      <w:spacing w:before="120" w:after="60" w:line="500" w:lineRule="exact"/>
      <w:ind w:firstLine="200" w:firstLineChars="200"/>
    </w:pPr>
    <w:rPr>
      <w:rFonts w:ascii="Times New Roman" w:hAnsi="Times New Roman" w:eastAsia="仿宋_GB2312"/>
      <w:sz w:val="28"/>
    </w:rPr>
  </w:style>
  <w:style w:type="paragraph" w:customStyle="1" w:styleId="13">
    <w:name w:val="闻政正文"/>
    <w:basedOn w:val="1"/>
    <w:qFormat/>
    <w:uiPriority w:val="0"/>
    <w:pPr>
      <w:spacing w:line="500" w:lineRule="exact"/>
      <w:ind w:firstLine="560" w:firstLineChars="200"/>
    </w:pPr>
    <w:rPr>
      <w:rFonts w:eastAsia="仿宋_GB2312"/>
      <w:sz w:val="28"/>
      <w:szCs w:val="28"/>
      <w:lang w:val="zh-CN"/>
    </w:rPr>
  </w:style>
  <w:style w:type="paragraph" w:customStyle="1" w:styleId="14">
    <w:name w:val="闻政表"/>
    <w:basedOn w:val="1"/>
    <w:qFormat/>
    <w:uiPriority w:val="0"/>
    <w:pPr>
      <w:spacing w:before="60" w:after="60"/>
      <w:jc w:val="center"/>
    </w:pPr>
    <w:rPr>
      <w:rFonts w:eastAsia="仿宋_GB2312"/>
      <w:b/>
      <w:sz w:val="24"/>
      <w:szCs w:val="28"/>
      <w:lang w:val="zh-CN"/>
    </w:rPr>
  </w:style>
  <w:style w:type="character" w:customStyle="1" w:styleId="15">
    <w:name w:val="批注框文本 Char"/>
    <w:basedOn w:val="8"/>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9617</Words>
  <Characters>10504</Characters>
  <Lines>77</Lines>
  <Paragraphs>21</Paragraphs>
  <TotalTime>16</TotalTime>
  <ScaleCrop>false</ScaleCrop>
  <LinksUpToDate>false</LinksUpToDate>
  <CharactersWithSpaces>10587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2022-05-16T09:49:00Z</dcterms:created>
  <dc:creator>Administrator</dc:creator>
  <cp:lastModifiedBy>user</cp:lastModifiedBy>
  <dcterms:modified xsi:type="dcterms:W3CDTF">2023-09-22T17:14:14Z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1A073F693A4F49A0B89308B364A3B078</vt:lpwstr>
  </property>
</Properties>
</file>