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pPr>
      <w:r>
        <w:rPr>
          <w:rFonts w:hint="eastAsia"/>
        </w:rPr>
        <w:t>附件</w:t>
      </w:r>
    </w:p>
    <w:p>
      <w:pPr>
        <w:spacing w:line="220" w:lineRule="atLeast"/>
        <w:jc w:val="center"/>
        <w:rPr>
          <w:b/>
          <w:sz w:val="32"/>
          <w:szCs w:val="32"/>
        </w:rPr>
      </w:pPr>
      <w:r>
        <w:rPr>
          <w:rFonts w:hint="eastAsia"/>
          <w:b/>
          <w:sz w:val="32"/>
          <w:szCs w:val="32"/>
        </w:rPr>
        <w:t>703515平顺县石城中心卫生院</w:t>
      </w:r>
    </w:p>
    <w:p>
      <w:pPr>
        <w:spacing w:line="220" w:lineRule="atLeast"/>
        <w:jc w:val="center"/>
      </w:pPr>
      <w:r>
        <w:rPr>
          <w:rFonts w:hint="eastAsia"/>
          <w:b/>
          <w:sz w:val="32"/>
          <w:szCs w:val="32"/>
        </w:rPr>
        <w:t>2021年度单位决算公开</w:t>
      </w:r>
    </w:p>
    <w:p>
      <w:pPr>
        <w:spacing w:line="220" w:lineRule="atLeast"/>
        <w:jc w:val="center"/>
        <w:rPr>
          <w:b/>
        </w:rPr>
      </w:pPr>
      <w:r>
        <w:rPr>
          <w:rFonts w:hint="eastAsia"/>
          <w:b/>
        </w:rPr>
        <w:t>目      录</w:t>
      </w:r>
    </w:p>
    <w:p>
      <w:pPr>
        <w:spacing w:line="220" w:lineRule="atLeast"/>
        <w:rPr>
          <w:b/>
          <w:sz w:val="28"/>
          <w:szCs w:val="28"/>
        </w:rPr>
      </w:pPr>
      <w:r>
        <w:rPr>
          <w:rFonts w:hint="eastAsia"/>
          <w:b/>
          <w:sz w:val="28"/>
          <w:szCs w:val="28"/>
        </w:rPr>
        <w:t>第一部分    概况</w:t>
      </w:r>
    </w:p>
    <w:p>
      <w:pPr>
        <w:spacing w:line="220" w:lineRule="atLeast"/>
        <w:rPr>
          <w:sz w:val="28"/>
          <w:szCs w:val="28"/>
        </w:rPr>
      </w:pPr>
      <w:r>
        <w:rPr>
          <w:rFonts w:hint="eastAsia"/>
          <w:sz w:val="28"/>
          <w:szCs w:val="28"/>
        </w:rPr>
        <w:t>一、本单位职责</w:t>
      </w:r>
    </w:p>
    <w:p>
      <w:pPr>
        <w:spacing w:line="220" w:lineRule="atLeast"/>
        <w:rPr>
          <w:sz w:val="28"/>
          <w:szCs w:val="28"/>
        </w:rPr>
      </w:pPr>
      <w:r>
        <w:rPr>
          <w:rFonts w:hint="eastAsia"/>
          <w:sz w:val="28"/>
          <w:szCs w:val="28"/>
        </w:rPr>
        <w:t>二、机构设置情况</w:t>
      </w:r>
    </w:p>
    <w:p>
      <w:pPr>
        <w:rPr>
          <w:sz w:val="28"/>
          <w:szCs w:val="28"/>
        </w:rPr>
      </w:pPr>
      <w:r>
        <w:rPr>
          <w:rFonts w:hint="eastAsia"/>
          <w:sz w:val="28"/>
          <w:szCs w:val="28"/>
        </w:rPr>
        <w:t>三、年度工作计划及执行情况</w:t>
      </w:r>
    </w:p>
    <w:p>
      <w:pPr>
        <w:spacing w:line="220" w:lineRule="atLeast"/>
        <w:rPr>
          <w:b/>
          <w:sz w:val="28"/>
          <w:szCs w:val="28"/>
        </w:rPr>
      </w:pPr>
      <w:r>
        <w:rPr>
          <w:rFonts w:hint="eastAsia"/>
          <w:b/>
          <w:sz w:val="28"/>
          <w:szCs w:val="28"/>
        </w:rPr>
        <w:t>第二部分    2021年度单位决算报表</w:t>
      </w:r>
    </w:p>
    <w:p>
      <w:pPr>
        <w:spacing w:line="220" w:lineRule="atLeast"/>
        <w:rPr>
          <w:sz w:val="28"/>
          <w:szCs w:val="28"/>
        </w:rPr>
      </w:pPr>
      <w:r>
        <w:rPr>
          <w:rFonts w:hint="eastAsia"/>
          <w:sz w:val="28"/>
          <w:szCs w:val="28"/>
        </w:rPr>
        <w:t>一、收入支出决算总表</w:t>
      </w:r>
    </w:p>
    <w:p>
      <w:pPr>
        <w:spacing w:line="220" w:lineRule="atLeast"/>
        <w:rPr>
          <w:sz w:val="28"/>
          <w:szCs w:val="28"/>
        </w:rPr>
      </w:pPr>
      <w:r>
        <w:rPr>
          <w:rFonts w:hint="eastAsia"/>
          <w:sz w:val="28"/>
          <w:szCs w:val="28"/>
        </w:rPr>
        <w:t>二、收入决算表</w:t>
      </w:r>
    </w:p>
    <w:p>
      <w:pPr>
        <w:spacing w:line="220" w:lineRule="atLeast"/>
        <w:rPr>
          <w:sz w:val="28"/>
          <w:szCs w:val="28"/>
        </w:rPr>
      </w:pPr>
      <w:r>
        <w:rPr>
          <w:rFonts w:hint="eastAsia"/>
          <w:sz w:val="28"/>
          <w:szCs w:val="28"/>
        </w:rPr>
        <w:t>三、支出决算表</w:t>
      </w:r>
    </w:p>
    <w:p>
      <w:pPr>
        <w:spacing w:line="220" w:lineRule="atLeast"/>
        <w:rPr>
          <w:sz w:val="28"/>
          <w:szCs w:val="28"/>
        </w:rPr>
      </w:pPr>
      <w:r>
        <w:rPr>
          <w:rFonts w:hint="eastAsia"/>
          <w:sz w:val="28"/>
          <w:szCs w:val="28"/>
        </w:rPr>
        <w:t>四、财政拨款收入支出决算总表</w:t>
      </w:r>
    </w:p>
    <w:p>
      <w:pPr>
        <w:spacing w:line="220" w:lineRule="atLeast"/>
        <w:rPr>
          <w:sz w:val="28"/>
          <w:szCs w:val="28"/>
        </w:rPr>
      </w:pPr>
      <w:r>
        <w:rPr>
          <w:rFonts w:hint="eastAsia"/>
          <w:sz w:val="28"/>
          <w:szCs w:val="28"/>
        </w:rPr>
        <w:t>五、一般公共预算财政拨款支出决算表（一）</w:t>
      </w:r>
    </w:p>
    <w:p>
      <w:pPr>
        <w:spacing w:line="220" w:lineRule="atLeast"/>
        <w:rPr>
          <w:sz w:val="28"/>
          <w:szCs w:val="28"/>
        </w:rPr>
      </w:pPr>
      <w:r>
        <w:rPr>
          <w:rFonts w:hint="eastAsia"/>
          <w:sz w:val="28"/>
          <w:szCs w:val="28"/>
        </w:rPr>
        <w:t>六、一般公共预算财政拨款支出决算表（二）</w:t>
      </w:r>
    </w:p>
    <w:p>
      <w:pPr>
        <w:spacing w:line="220" w:lineRule="atLeast"/>
        <w:rPr>
          <w:sz w:val="28"/>
          <w:szCs w:val="28"/>
        </w:rPr>
      </w:pPr>
      <w:r>
        <w:rPr>
          <w:rFonts w:hint="eastAsia"/>
          <w:sz w:val="28"/>
          <w:szCs w:val="28"/>
        </w:rPr>
        <w:t>七、一般公共预算财政拨款“三公”经费支出决算表</w:t>
      </w:r>
    </w:p>
    <w:p>
      <w:pPr>
        <w:spacing w:line="220" w:lineRule="atLeast"/>
        <w:rPr>
          <w:sz w:val="28"/>
          <w:szCs w:val="28"/>
        </w:rPr>
      </w:pPr>
      <w:r>
        <w:rPr>
          <w:rFonts w:hint="eastAsia"/>
          <w:sz w:val="28"/>
          <w:szCs w:val="28"/>
        </w:rPr>
        <w:t>八、政府性基金预算财政拨款收入支出决算表</w:t>
      </w:r>
    </w:p>
    <w:p>
      <w:pPr>
        <w:spacing w:line="220" w:lineRule="atLeast"/>
        <w:rPr>
          <w:sz w:val="28"/>
          <w:szCs w:val="28"/>
        </w:rPr>
      </w:pPr>
      <w:r>
        <w:rPr>
          <w:rFonts w:hint="eastAsia"/>
          <w:sz w:val="28"/>
          <w:szCs w:val="28"/>
        </w:rPr>
        <w:t>九、国有资本经营预算财政拨款支出决算表</w:t>
      </w:r>
    </w:p>
    <w:p>
      <w:pPr>
        <w:spacing w:line="220" w:lineRule="atLeast"/>
        <w:rPr>
          <w:sz w:val="28"/>
          <w:szCs w:val="28"/>
        </w:rPr>
      </w:pPr>
      <w:r>
        <w:rPr>
          <w:rFonts w:hint="eastAsia"/>
          <w:sz w:val="28"/>
          <w:szCs w:val="28"/>
        </w:rPr>
        <w:t>十、单位决算公开相关信息统计表</w:t>
      </w:r>
    </w:p>
    <w:p>
      <w:pPr>
        <w:spacing w:line="220" w:lineRule="atLeast"/>
        <w:rPr>
          <w:b/>
          <w:sz w:val="28"/>
          <w:szCs w:val="28"/>
        </w:rPr>
      </w:pPr>
      <w:r>
        <w:rPr>
          <w:rFonts w:hint="eastAsia"/>
          <w:b/>
          <w:sz w:val="28"/>
          <w:szCs w:val="28"/>
        </w:rPr>
        <w:t>第三部分   2021年度单位决算情况说明</w:t>
      </w:r>
    </w:p>
    <w:p>
      <w:pPr>
        <w:spacing w:line="220" w:lineRule="atLeast"/>
        <w:rPr>
          <w:sz w:val="28"/>
          <w:szCs w:val="28"/>
        </w:rPr>
      </w:pPr>
      <w:r>
        <w:rPr>
          <w:rFonts w:hint="eastAsia"/>
          <w:sz w:val="28"/>
          <w:szCs w:val="28"/>
        </w:rPr>
        <w:t>一、收入支出决算总体情况说明</w:t>
      </w:r>
    </w:p>
    <w:p>
      <w:pPr>
        <w:spacing w:line="220" w:lineRule="atLeast"/>
        <w:rPr>
          <w:sz w:val="28"/>
          <w:szCs w:val="28"/>
        </w:rPr>
      </w:pPr>
      <w:r>
        <w:rPr>
          <w:rFonts w:hint="eastAsia"/>
          <w:sz w:val="28"/>
          <w:szCs w:val="28"/>
        </w:rPr>
        <w:t>二、收入决算情况说明</w:t>
      </w:r>
    </w:p>
    <w:p>
      <w:pPr>
        <w:spacing w:line="220" w:lineRule="atLeast"/>
        <w:rPr>
          <w:sz w:val="28"/>
          <w:szCs w:val="28"/>
        </w:rPr>
      </w:pPr>
      <w:r>
        <w:rPr>
          <w:rFonts w:hint="eastAsia"/>
          <w:sz w:val="28"/>
          <w:szCs w:val="28"/>
        </w:rPr>
        <w:t>三、支出决算情况说明</w:t>
      </w:r>
    </w:p>
    <w:p>
      <w:pPr>
        <w:spacing w:line="220" w:lineRule="atLeast"/>
        <w:rPr>
          <w:sz w:val="28"/>
          <w:szCs w:val="28"/>
        </w:rPr>
      </w:pPr>
      <w:r>
        <w:rPr>
          <w:rFonts w:hint="eastAsia"/>
          <w:sz w:val="28"/>
          <w:szCs w:val="28"/>
        </w:rPr>
        <w:t>四、财政拨款收入支出决算总体情况说明</w:t>
      </w:r>
    </w:p>
    <w:p>
      <w:pPr>
        <w:spacing w:line="220" w:lineRule="atLeast"/>
        <w:rPr>
          <w:sz w:val="28"/>
          <w:szCs w:val="28"/>
        </w:rPr>
      </w:pPr>
      <w:r>
        <w:rPr>
          <w:rFonts w:hint="eastAsia"/>
          <w:sz w:val="28"/>
          <w:szCs w:val="28"/>
        </w:rPr>
        <w:t>五、一般公共预算财政拨款支出决算情况说明</w:t>
      </w:r>
    </w:p>
    <w:p>
      <w:pPr>
        <w:spacing w:line="220" w:lineRule="atLeast"/>
        <w:rPr>
          <w:sz w:val="28"/>
          <w:szCs w:val="28"/>
        </w:rPr>
      </w:pPr>
      <w:r>
        <w:rPr>
          <w:rFonts w:hint="eastAsia"/>
          <w:sz w:val="28"/>
          <w:szCs w:val="28"/>
        </w:rPr>
        <w:t>六、一般公共预算财政拨款基本支出决算情况说明</w:t>
      </w:r>
    </w:p>
    <w:p>
      <w:pPr>
        <w:spacing w:line="220" w:lineRule="atLeast"/>
        <w:rPr>
          <w:sz w:val="28"/>
          <w:szCs w:val="28"/>
        </w:rPr>
      </w:pPr>
      <w:r>
        <w:rPr>
          <w:rFonts w:hint="eastAsia"/>
          <w:sz w:val="28"/>
          <w:szCs w:val="28"/>
        </w:rPr>
        <w:t>七、一般公共预算财政拨款“三公”经费支出决算情况说明</w:t>
      </w:r>
    </w:p>
    <w:p>
      <w:pPr>
        <w:spacing w:line="220" w:lineRule="atLeast"/>
        <w:rPr>
          <w:sz w:val="28"/>
          <w:szCs w:val="28"/>
        </w:rPr>
      </w:pPr>
      <w:r>
        <w:rPr>
          <w:rFonts w:hint="eastAsia"/>
          <w:sz w:val="28"/>
          <w:szCs w:val="28"/>
        </w:rPr>
        <w:t>八、其他重要事项情况说明</w:t>
      </w:r>
    </w:p>
    <w:p>
      <w:pPr>
        <w:spacing w:line="220" w:lineRule="atLeast"/>
        <w:rPr>
          <w:b/>
          <w:sz w:val="28"/>
          <w:szCs w:val="28"/>
        </w:rPr>
      </w:pPr>
      <w:r>
        <w:rPr>
          <w:rFonts w:hint="eastAsia"/>
          <w:b/>
          <w:sz w:val="28"/>
          <w:szCs w:val="28"/>
        </w:rPr>
        <w:t>第四部分    名词解释</w:t>
      </w:r>
    </w:p>
    <w:p>
      <w:pPr>
        <w:spacing w:line="220" w:lineRule="atLeast"/>
        <w:rPr>
          <w:b/>
          <w:sz w:val="28"/>
          <w:szCs w:val="28"/>
        </w:rPr>
      </w:pPr>
      <w:r>
        <w:rPr>
          <w:rFonts w:hint="eastAsia"/>
          <w:b/>
          <w:sz w:val="28"/>
          <w:szCs w:val="28"/>
        </w:rPr>
        <w:t>第五部分    附件</w:t>
      </w: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r>
        <w:rPr>
          <w:rFonts w:hint="eastAsia"/>
          <w:b/>
          <w:sz w:val="28"/>
          <w:szCs w:val="28"/>
        </w:rPr>
        <w:t>第一部分概况</w:t>
      </w:r>
    </w:p>
    <w:p>
      <w:pPr>
        <w:spacing w:line="220" w:lineRule="atLeast"/>
        <w:rPr>
          <w:sz w:val="28"/>
          <w:szCs w:val="28"/>
        </w:rPr>
      </w:pPr>
      <w:r>
        <w:rPr>
          <w:rFonts w:hint="eastAsia"/>
          <w:sz w:val="28"/>
          <w:szCs w:val="28"/>
        </w:rPr>
        <w:t>一、本单位职责</w:t>
      </w:r>
    </w:p>
    <w:p>
      <w:pPr>
        <w:tabs>
          <w:tab w:val="left" w:pos="1363"/>
        </w:tabs>
        <w:spacing w:after="0"/>
        <w:ind w:firstLine="560" w:firstLineChars="200"/>
        <w:rPr>
          <w:rFonts w:ascii="微软雅黑" w:hAnsi="微软雅黑" w:cs="微软雅黑"/>
          <w:sz w:val="28"/>
          <w:szCs w:val="28"/>
        </w:rPr>
      </w:pPr>
      <w:r>
        <w:rPr>
          <w:rFonts w:hint="eastAsia"/>
          <w:sz w:val="28"/>
          <w:szCs w:val="28"/>
        </w:rPr>
        <w:t xml:space="preserve"> </w:t>
      </w:r>
      <w:r>
        <w:rPr>
          <w:rFonts w:hint="eastAsia" w:ascii="微软雅黑" w:hAnsi="微软雅黑" w:cs="微软雅黑"/>
          <w:sz w:val="28"/>
          <w:szCs w:val="28"/>
        </w:rPr>
        <w:t>根据中共平顺县委办公室，平顺县人民政府办公室《关于平顺县事业单位清理规范和分类改革意见》（平办发（2009）103号）和长治市机构编制委员会办公室《中关于平顺县事业单位清理规范方案的批复》（长编办发[2010]186号）精神，设置平顺县石城中心卫生院，为县卫生健康和体育局下属财政补助全额拨款事业单位。</w:t>
      </w:r>
    </w:p>
    <w:p>
      <w:pPr>
        <w:tabs>
          <w:tab w:val="left" w:pos="1363"/>
        </w:tabs>
        <w:spacing w:after="0"/>
        <w:ind w:firstLine="560" w:firstLineChars="200"/>
        <w:rPr>
          <w:rFonts w:ascii="微软雅黑" w:hAnsi="微软雅黑" w:cs="微软雅黑"/>
          <w:sz w:val="28"/>
          <w:szCs w:val="28"/>
        </w:rPr>
      </w:pPr>
      <w:r>
        <w:rPr>
          <w:rFonts w:hint="eastAsia" w:ascii="微软雅黑" w:hAnsi="微软雅黑" w:cs="微软雅黑"/>
          <w:sz w:val="28"/>
          <w:szCs w:val="28"/>
        </w:rPr>
        <w:t>职责任务：农村疾病预防控制、妇幼保健、健康教育、突发公共卫生事件等公共卫生服务职责；村卫生室管理、村级卫生人员培训、卫生信息统计等公共卫生管理职责。承担对村卫生室、社区卫生服务站的人员培训、技术指导等；基本医疗服务职责。提供常见病、多发病的初级诊治以及诊疗明确的慢性非传染疾病的康复和护理；提供急诊抢救及转诊转院服务等。</w:t>
      </w:r>
    </w:p>
    <w:p>
      <w:pPr>
        <w:spacing w:line="220" w:lineRule="atLeast"/>
        <w:rPr>
          <w:sz w:val="28"/>
          <w:szCs w:val="28"/>
        </w:rPr>
      </w:pPr>
      <w:r>
        <w:rPr>
          <w:rFonts w:hint="eastAsia"/>
          <w:sz w:val="28"/>
          <w:szCs w:val="28"/>
        </w:rPr>
        <w:t>二、机构设置情况</w:t>
      </w:r>
    </w:p>
    <w:p>
      <w:pPr>
        <w:ind w:firstLine="560" w:firstLineChars="200"/>
        <w:rPr>
          <w:rFonts w:hint="eastAsia" w:ascii="微软雅黑" w:hAnsi="微软雅黑" w:cs="微软雅黑"/>
          <w:sz w:val="28"/>
          <w:szCs w:val="28"/>
        </w:rPr>
      </w:pPr>
      <w:r>
        <w:rPr>
          <w:rFonts w:ascii="仿宋_GB2312" w:hAnsi="楷体" w:eastAsia="仿宋_GB2312"/>
          <w:sz w:val="28"/>
          <w:szCs w:val="28"/>
        </w:rPr>
        <w:t xml:space="preserve">1. </w:t>
      </w:r>
      <w:r>
        <w:rPr>
          <w:rFonts w:hint="eastAsia" w:ascii="微软雅黑" w:hAnsi="微软雅黑" w:cs="微软雅黑"/>
          <w:sz w:val="28"/>
          <w:szCs w:val="28"/>
        </w:rPr>
        <w:t>根据单位职责分工，本单位内设机构包括办公室、内科、外科、中医科、全科医学科、公共卫生科、检验科、放射科。 。本单位无下属单位包括。</w:t>
      </w:r>
    </w:p>
    <w:p>
      <w:pPr>
        <w:ind w:firstLine="560" w:firstLineChars="200"/>
        <w:rPr>
          <w:rFonts w:ascii="微软雅黑" w:hAnsi="微软雅黑" w:cs="微软雅黑"/>
          <w:sz w:val="28"/>
          <w:szCs w:val="28"/>
        </w:rPr>
      </w:pPr>
      <w:r>
        <w:rPr>
          <w:rFonts w:ascii="仿宋_GB2312" w:hAnsi="楷体" w:eastAsia="仿宋_GB2312"/>
          <w:sz w:val="28"/>
          <w:szCs w:val="28"/>
        </w:rPr>
        <w:t xml:space="preserve">2. </w:t>
      </w:r>
      <w:r>
        <w:rPr>
          <w:rFonts w:hint="eastAsia" w:ascii="微软雅黑" w:hAnsi="微软雅黑" w:cs="微软雅黑"/>
          <w:sz w:val="28"/>
          <w:szCs w:val="28"/>
        </w:rPr>
        <w:t>从决算单位构成看，纳入平顺县石城中心卫生院单位2021年单位汇总决算编制范围的预算单位共计1家，具体包括：平顺县石城中心卫生院。</w:t>
      </w:r>
    </w:p>
    <w:p>
      <w:pPr>
        <w:rPr>
          <w:rFonts w:ascii="微软雅黑" w:hAnsi="微软雅黑" w:cs="微软雅黑"/>
          <w:sz w:val="28"/>
          <w:szCs w:val="28"/>
        </w:rPr>
      </w:pPr>
      <w:r>
        <w:rPr>
          <w:rFonts w:hint="eastAsia" w:ascii="微软雅黑" w:hAnsi="微软雅黑" w:cs="微软雅黑"/>
          <w:sz w:val="28"/>
          <w:szCs w:val="28"/>
        </w:rPr>
        <w:t>三、年度工作计划及执行情况</w:t>
      </w:r>
    </w:p>
    <w:p>
      <w:pPr>
        <w:spacing w:after="0"/>
        <w:ind w:firstLine="560" w:firstLineChars="200"/>
        <w:rPr>
          <w:rFonts w:ascii="微软雅黑" w:hAnsi="微软雅黑" w:cs="微软雅黑"/>
          <w:sz w:val="28"/>
          <w:szCs w:val="28"/>
        </w:rPr>
      </w:pPr>
      <w:r>
        <w:rPr>
          <w:rFonts w:hint="eastAsia" w:ascii="微软雅黑" w:hAnsi="微软雅黑" w:cs="微软雅黑"/>
          <w:sz w:val="28"/>
          <w:szCs w:val="28"/>
        </w:rPr>
        <w:t>2021年我院的财务管理工作主要从以下几个方面开展：</w:t>
      </w:r>
    </w:p>
    <w:p>
      <w:pPr>
        <w:spacing w:after="0"/>
        <w:ind w:firstLine="560" w:firstLineChars="200"/>
        <w:rPr>
          <w:rFonts w:ascii="微软雅黑" w:hAnsi="微软雅黑" w:cs="微软雅黑"/>
          <w:sz w:val="28"/>
          <w:szCs w:val="28"/>
        </w:rPr>
      </w:pPr>
      <w:r>
        <w:rPr>
          <w:rFonts w:hint="eastAsia" w:ascii="微软雅黑" w:hAnsi="微软雅黑" w:cs="微软雅黑"/>
          <w:sz w:val="28"/>
          <w:szCs w:val="28"/>
        </w:rPr>
        <w:t>1、强化内部管理，进一步完善财务管理制度</w:t>
      </w:r>
    </w:p>
    <w:p>
      <w:pPr>
        <w:spacing w:after="0"/>
        <w:ind w:firstLine="560" w:firstLineChars="200"/>
        <w:rPr>
          <w:rFonts w:ascii="微软雅黑" w:hAnsi="微软雅黑" w:cs="微软雅黑"/>
          <w:sz w:val="28"/>
          <w:szCs w:val="28"/>
        </w:rPr>
      </w:pPr>
      <w:r>
        <w:rPr>
          <w:rFonts w:hint="eastAsia" w:ascii="微软雅黑" w:hAnsi="微软雅黑" w:cs="微软雅黑"/>
          <w:sz w:val="28"/>
          <w:szCs w:val="28"/>
        </w:rPr>
        <w:t>认真做好各项财经法律、法规的制度执行，严格财政支出的使用，严格执行政府采购制度的执行。严格执行车辆管理的相关制度，更好的监督三公费用的使用。</w:t>
      </w:r>
    </w:p>
    <w:p>
      <w:pPr>
        <w:spacing w:after="0"/>
        <w:ind w:firstLine="560" w:firstLineChars="200"/>
        <w:rPr>
          <w:rFonts w:ascii="微软雅黑" w:hAnsi="微软雅黑" w:cs="微软雅黑"/>
          <w:sz w:val="28"/>
          <w:szCs w:val="28"/>
        </w:rPr>
      </w:pPr>
      <w:r>
        <w:rPr>
          <w:rFonts w:hint="eastAsia" w:ascii="微软雅黑" w:hAnsi="微软雅黑" w:cs="微软雅黑"/>
          <w:sz w:val="28"/>
          <w:szCs w:val="28"/>
        </w:rPr>
        <w:t>2、严格预算执行，为各项指标完成提供指导</w:t>
      </w:r>
    </w:p>
    <w:p>
      <w:pPr>
        <w:spacing w:after="0"/>
        <w:ind w:firstLine="560" w:firstLineChars="200"/>
        <w:rPr>
          <w:rFonts w:ascii="微软雅黑" w:hAnsi="微软雅黑" w:cs="微软雅黑"/>
          <w:sz w:val="28"/>
          <w:szCs w:val="28"/>
        </w:rPr>
      </w:pPr>
      <w:r>
        <w:rPr>
          <w:rFonts w:hint="eastAsia" w:ascii="微软雅黑" w:hAnsi="微软雅黑" w:cs="微软雅黑"/>
          <w:sz w:val="28"/>
          <w:szCs w:val="28"/>
        </w:rPr>
        <w:t>认真编制了财务预算，严把收支关，做到有预算不超支、无预算不开支，认真审核，保证合理、节约、有效地安排使用资金。</w:t>
      </w:r>
    </w:p>
    <w:p>
      <w:pPr>
        <w:spacing w:after="0"/>
        <w:ind w:firstLine="560" w:firstLineChars="200"/>
        <w:rPr>
          <w:rFonts w:ascii="微软雅黑" w:hAnsi="微软雅黑" w:cs="微软雅黑"/>
          <w:sz w:val="28"/>
          <w:szCs w:val="28"/>
        </w:rPr>
      </w:pPr>
      <w:r>
        <w:rPr>
          <w:rFonts w:hint="eastAsia" w:ascii="微软雅黑" w:hAnsi="微软雅黑" w:cs="微软雅黑"/>
          <w:sz w:val="28"/>
          <w:szCs w:val="28"/>
        </w:rPr>
        <w:t>3、做好日常核算和决算工作，进一步深化公立医院改革</w:t>
      </w:r>
    </w:p>
    <w:p>
      <w:pPr>
        <w:spacing w:after="0"/>
        <w:ind w:firstLine="560" w:firstLineChars="200"/>
        <w:rPr>
          <w:rFonts w:ascii="微软雅黑" w:hAnsi="微软雅黑" w:cs="微软雅黑"/>
          <w:sz w:val="28"/>
          <w:szCs w:val="28"/>
        </w:rPr>
      </w:pPr>
      <w:r>
        <w:rPr>
          <w:rFonts w:hint="eastAsia" w:ascii="微软雅黑" w:hAnsi="微软雅黑" w:cs="微软雅黑"/>
          <w:sz w:val="28"/>
          <w:szCs w:val="28"/>
        </w:rPr>
        <w:t>按照全县财务决算布置会议要求，完成了2018年我院会计、资产决算的组织、编制、审核工作，并在平顺县政府网公开决算情况；严格原始报销单据的审核，认真完成财务系统录入工作，做到资金的日清月结，保证账账相符、账实相符；认真做好月度、季度财务分析工作，及时反馈各科室。进一步深化公立医院改革，圆满完成药品零差率销售和医疗价格的调整工作。</w:t>
      </w:r>
    </w:p>
    <w:p>
      <w:pPr>
        <w:spacing w:after="0"/>
        <w:ind w:firstLine="560" w:firstLineChars="200"/>
        <w:rPr>
          <w:rFonts w:ascii="微软雅黑" w:hAnsi="微软雅黑" w:cs="微软雅黑"/>
          <w:sz w:val="28"/>
          <w:szCs w:val="28"/>
        </w:rPr>
      </w:pPr>
      <w:r>
        <w:rPr>
          <w:rFonts w:hint="eastAsia" w:ascii="微软雅黑" w:hAnsi="微软雅黑" w:cs="微软雅黑"/>
          <w:sz w:val="28"/>
          <w:szCs w:val="28"/>
        </w:rPr>
        <w:t>4、积极配合其他单位工作。 </w:t>
      </w:r>
    </w:p>
    <w:p>
      <w:pPr>
        <w:spacing w:after="0"/>
        <w:ind w:firstLine="560" w:firstLineChars="200"/>
        <w:rPr>
          <w:rFonts w:ascii="微软雅黑" w:hAnsi="微软雅黑" w:cs="微软雅黑"/>
          <w:sz w:val="28"/>
          <w:szCs w:val="28"/>
        </w:rPr>
      </w:pPr>
      <w:r>
        <w:rPr>
          <w:rFonts w:hint="eastAsia" w:ascii="微软雅黑" w:hAnsi="微软雅黑" w:cs="微软雅黑"/>
          <w:sz w:val="28"/>
          <w:szCs w:val="28"/>
        </w:rPr>
        <w:t>很好地完成了社保单位医药费的结算，完成了民政单位医疗救助的结算等工作。</w:t>
      </w:r>
    </w:p>
    <w:p>
      <w:pPr>
        <w:spacing w:after="0"/>
        <w:ind w:firstLine="560" w:firstLineChars="200"/>
        <w:rPr>
          <w:rFonts w:ascii="微软雅黑" w:hAnsi="微软雅黑" w:cs="微软雅黑"/>
          <w:sz w:val="28"/>
          <w:szCs w:val="28"/>
        </w:rPr>
      </w:pPr>
      <w:r>
        <w:rPr>
          <w:rFonts w:hint="eastAsia" w:ascii="微软雅黑" w:hAnsi="微软雅黑" w:cs="微软雅黑"/>
          <w:sz w:val="28"/>
          <w:szCs w:val="28"/>
        </w:rPr>
        <w:t>5、按时按要求进行项目绩效申报，对项目绩效进行有效管理。</w:t>
      </w:r>
    </w:p>
    <w:p>
      <w:pPr>
        <w:spacing w:line="220" w:lineRule="atLeast"/>
        <w:rPr>
          <w:b/>
          <w:sz w:val="28"/>
          <w:szCs w:val="28"/>
        </w:rPr>
      </w:pPr>
      <w:r>
        <w:rPr>
          <w:rFonts w:hint="eastAsia"/>
          <w:b/>
          <w:sz w:val="28"/>
          <w:szCs w:val="28"/>
        </w:rPr>
        <w:t>第二部分 2021年度单位决算报表（见附表1）</w:t>
      </w:r>
    </w:p>
    <w:p>
      <w:pPr>
        <w:spacing w:line="220" w:lineRule="atLeast"/>
        <w:rPr>
          <w:sz w:val="28"/>
          <w:szCs w:val="28"/>
        </w:rPr>
      </w:pPr>
      <w:r>
        <w:rPr>
          <w:rFonts w:hint="eastAsia"/>
          <w:sz w:val="28"/>
          <w:szCs w:val="28"/>
        </w:rPr>
        <w:t>一、收入支出决算总表</w:t>
      </w:r>
    </w:p>
    <w:p>
      <w:pPr>
        <w:spacing w:line="220" w:lineRule="atLeast"/>
        <w:rPr>
          <w:sz w:val="28"/>
          <w:szCs w:val="28"/>
        </w:rPr>
      </w:pPr>
      <w:r>
        <w:rPr>
          <w:rFonts w:hint="eastAsia"/>
          <w:sz w:val="28"/>
          <w:szCs w:val="28"/>
        </w:rPr>
        <w:t>二、收入决算表</w:t>
      </w:r>
    </w:p>
    <w:p>
      <w:pPr>
        <w:spacing w:line="220" w:lineRule="atLeast"/>
        <w:rPr>
          <w:sz w:val="28"/>
          <w:szCs w:val="28"/>
        </w:rPr>
      </w:pPr>
      <w:r>
        <w:rPr>
          <w:rFonts w:hint="eastAsia"/>
          <w:sz w:val="28"/>
          <w:szCs w:val="28"/>
        </w:rPr>
        <w:t>三、支出决算表</w:t>
      </w:r>
    </w:p>
    <w:p>
      <w:pPr>
        <w:spacing w:line="220" w:lineRule="atLeast"/>
        <w:rPr>
          <w:sz w:val="28"/>
          <w:szCs w:val="28"/>
        </w:rPr>
      </w:pPr>
      <w:r>
        <w:rPr>
          <w:rFonts w:hint="eastAsia"/>
          <w:sz w:val="28"/>
          <w:szCs w:val="28"/>
        </w:rPr>
        <w:t>四、财政拨款收入支出决算总表</w:t>
      </w:r>
    </w:p>
    <w:p>
      <w:pPr>
        <w:spacing w:line="220" w:lineRule="atLeast"/>
        <w:rPr>
          <w:sz w:val="28"/>
          <w:szCs w:val="28"/>
        </w:rPr>
      </w:pPr>
      <w:r>
        <w:rPr>
          <w:rFonts w:hint="eastAsia"/>
          <w:sz w:val="28"/>
          <w:szCs w:val="28"/>
        </w:rPr>
        <w:t>五、一般公共预算财政拨款支出决算表（一）</w:t>
      </w:r>
    </w:p>
    <w:p>
      <w:pPr>
        <w:spacing w:line="220" w:lineRule="atLeast"/>
        <w:rPr>
          <w:sz w:val="28"/>
          <w:szCs w:val="28"/>
        </w:rPr>
      </w:pPr>
      <w:r>
        <w:rPr>
          <w:rFonts w:hint="eastAsia"/>
          <w:sz w:val="28"/>
          <w:szCs w:val="28"/>
        </w:rPr>
        <w:t>六、一般公共预算财政拨款支出决算表（二）</w:t>
      </w:r>
    </w:p>
    <w:p>
      <w:pPr>
        <w:spacing w:line="220" w:lineRule="atLeast"/>
        <w:rPr>
          <w:sz w:val="28"/>
          <w:szCs w:val="28"/>
        </w:rPr>
      </w:pPr>
      <w:r>
        <w:rPr>
          <w:rFonts w:hint="eastAsia"/>
          <w:sz w:val="28"/>
          <w:szCs w:val="28"/>
        </w:rPr>
        <w:t>七、一般公共预算财政拨款“三公”经费支出决算表</w:t>
      </w:r>
    </w:p>
    <w:p>
      <w:pPr>
        <w:spacing w:line="220" w:lineRule="atLeast"/>
        <w:rPr>
          <w:sz w:val="28"/>
          <w:szCs w:val="28"/>
        </w:rPr>
      </w:pPr>
      <w:r>
        <w:rPr>
          <w:rFonts w:hint="eastAsia"/>
          <w:sz w:val="28"/>
          <w:szCs w:val="28"/>
        </w:rPr>
        <w:t>八、政府性基金预算财政拨款收入支出决算表</w:t>
      </w:r>
    </w:p>
    <w:p>
      <w:pPr>
        <w:spacing w:line="220" w:lineRule="atLeast"/>
        <w:rPr>
          <w:sz w:val="28"/>
          <w:szCs w:val="28"/>
        </w:rPr>
      </w:pPr>
      <w:r>
        <w:rPr>
          <w:rFonts w:hint="eastAsia"/>
          <w:sz w:val="28"/>
          <w:szCs w:val="28"/>
        </w:rPr>
        <w:t>九、国有资本经营预算财政   拨款支出决算表</w:t>
      </w:r>
    </w:p>
    <w:p>
      <w:pPr>
        <w:spacing w:line="220" w:lineRule="atLeast"/>
        <w:rPr>
          <w:sz w:val="28"/>
          <w:szCs w:val="28"/>
        </w:rPr>
      </w:pPr>
      <w:r>
        <w:rPr>
          <w:rFonts w:hint="eastAsia"/>
          <w:sz w:val="28"/>
          <w:szCs w:val="28"/>
        </w:rPr>
        <w:t>十、单位决算公开相关信息统计表</w:t>
      </w:r>
    </w:p>
    <w:p>
      <w:pPr>
        <w:spacing w:line="220" w:lineRule="atLeast"/>
        <w:ind w:firstLine="420" w:firstLineChars="150"/>
        <w:rPr>
          <w:rFonts w:hint="eastAsia" w:eastAsia="微软雅黑"/>
          <w:sz w:val="28"/>
          <w:szCs w:val="28"/>
          <w:lang w:eastAsia="zh-CN"/>
        </w:rPr>
      </w:pPr>
      <w:r>
        <w:rPr>
          <w:rFonts w:hint="eastAsia"/>
          <w:sz w:val="28"/>
          <w:szCs w:val="28"/>
          <w:lang w:eastAsia="zh-CN"/>
        </w:rPr>
        <w:t>我</w:t>
      </w:r>
      <w:r>
        <w:rPr>
          <w:rFonts w:hint="eastAsia"/>
          <w:sz w:val="28"/>
          <w:szCs w:val="28"/>
        </w:rPr>
        <w:t>单位没有使用政府性基金预算财政拨款收入支出</w:t>
      </w:r>
      <w:r>
        <w:rPr>
          <w:rFonts w:hint="eastAsia"/>
          <w:sz w:val="28"/>
          <w:szCs w:val="28"/>
          <w:lang w:eastAsia="zh-CN"/>
        </w:rPr>
        <w:t>和</w:t>
      </w:r>
      <w:r>
        <w:rPr>
          <w:rFonts w:hint="eastAsia"/>
          <w:sz w:val="28"/>
          <w:szCs w:val="28"/>
        </w:rPr>
        <w:t>国有资本经营预算安排的支出，故无数据</w:t>
      </w:r>
      <w:r>
        <w:rPr>
          <w:rFonts w:hint="eastAsia"/>
          <w:sz w:val="28"/>
          <w:szCs w:val="28"/>
          <w:lang w:eastAsia="zh-CN"/>
        </w:rPr>
        <w:t>。</w:t>
      </w:r>
    </w:p>
    <w:p>
      <w:pPr>
        <w:spacing w:line="220" w:lineRule="atLeast"/>
        <w:rPr>
          <w:sz w:val="28"/>
          <w:szCs w:val="28"/>
        </w:rPr>
      </w:pPr>
      <w:r>
        <w:rPr>
          <w:rFonts w:hint="eastAsia"/>
          <w:b/>
          <w:sz w:val="28"/>
          <w:szCs w:val="28"/>
        </w:rPr>
        <w:t>第三部分 2021年度单位决算情况说明</w:t>
      </w:r>
    </w:p>
    <w:p>
      <w:pPr>
        <w:spacing w:line="220" w:lineRule="atLeast"/>
        <w:ind w:firstLine="560" w:firstLineChars="200"/>
        <w:rPr>
          <w:b/>
          <w:sz w:val="28"/>
          <w:szCs w:val="28"/>
        </w:rPr>
      </w:pPr>
      <w:r>
        <w:rPr>
          <w:rFonts w:hint="eastAsia"/>
          <w:b/>
          <w:sz w:val="28"/>
          <w:szCs w:val="28"/>
        </w:rPr>
        <w:t>一、收入支出决算总体情况说明</w:t>
      </w:r>
    </w:p>
    <w:p>
      <w:pPr>
        <w:spacing w:line="220" w:lineRule="atLeast"/>
        <w:ind w:firstLine="560" w:firstLineChars="200"/>
        <w:rPr>
          <w:sz w:val="28"/>
          <w:szCs w:val="28"/>
        </w:rPr>
      </w:pPr>
      <w:r>
        <w:rPr>
          <w:rFonts w:hint="eastAsia"/>
          <w:sz w:val="28"/>
          <w:szCs w:val="28"/>
        </w:rPr>
        <w:t>2021年度收入总计877.00万元、支出总计912.50万元。与上年相比，收入总计增加-163.5</w:t>
      </w:r>
      <w:r>
        <w:rPr>
          <w:rFonts w:hint="eastAsia"/>
          <w:sz w:val="28"/>
          <w:szCs w:val="28"/>
          <w:lang w:val="en-US" w:eastAsia="zh-CN"/>
        </w:rPr>
        <w:t>5</w:t>
      </w:r>
      <w:r>
        <w:rPr>
          <w:rFonts w:hint="eastAsia"/>
          <w:sz w:val="28"/>
          <w:szCs w:val="28"/>
        </w:rPr>
        <w:t>万元，增加-15.72%，支出总计增加-239.4</w:t>
      </w:r>
      <w:r>
        <w:rPr>
          <w:rFonts w:hint="eastAsia"/>
          <w:sz w:val="28"/>
          <w:szCs w:val="28"/>
          <w:lang w:val="en-US" w:eastAsia="zh-CN"/>
        </w:rPr>
        <w:t>6</w:t>
      </w:r>
      <w:r>
        <w:rPr>
          <w:rFonts w:hint="eastAsia"/>
          <w:sz w:val="28"/>
          <w:szCs w:val="28"/>
        </w:rPr>
        <w:t>万元，增加-20.79%。主要原因是住院门诊病人大幅度下降，导致相应的支出减少。</w:t>
      </w:r>
    </w:p>
    <w:p>
      <w:pPr>
        <w:spacing w:line="220" w:lineRule="atLeast"/>
        <w:ind w:firstLine="560" w:firstLineChars="200"/>
        <w:rPr>
          <w:b/>
          <w:sz w:val="28"/>
          <w:szCs w:val="28"/>
        </w:rPr>
      </w:pPr>
      <w:r>
        <w:rPr>
          <w:rFonts w:hint="eastAsia"/>
          <w:b/>
          <w:sz w:val="28"/>
          <w:szCs w:val="28"/>
        </w:rPr>
        <w:t>二、收入决算情况说明</w:t>
      </w:r>
    </w:p>
    <w:p>
      <w:pPr>
        <w:spacing w:line="220" w:lineRule="atLeast"/>
        <w:ind w:firstLine="560" w:firstLineChars="200"/>
        <w:rPr>
          <w:sz w:val="28"/>
          <w:szCs w:val="28"/>
        </w:rPr>
      </w:pPr>
      <w:r>
        <w:rPr>
          <w:rFonts w:hint="eastAsia"/>
          <w:sz w:val="28"/>
          <w:szCs w:val="28"/>
        </w:rPr>
        <w:t>2021年度收入合计877.00万元，其中：财政拨款收入395.51万元，占比45.10%；上级补助收入0万元，占比0%；事业收入481.49万元，占比54.90%；经营收入0万元，占比0%；附属单位上缴收入0万元，占比0%；其他收入0万元，占比0%。</w:t>
      </w:r>
    </w:p>
    <w:p>
      <w:pPr>
        <w:spacing w:line="220" w:lineRule="atLeast"/>
        <w:ind w:firstLine="560" w:firstLineChars="200"/>
        <w:rPr>
          <w:b/>
          <w:sz w:val="28"/>
          <w:szCs w:val="28"/>
        </w:rPr>
      </w:pPr>
      <w:r>
        <w:rPr>
          <w:rFonts w:hint="eastAsia"/>
          <w:b/>
          <w:sz w:val="28"/>
          <w:szCs w:val="28"/>
        </w:rPr>
        <w:t>三、支出决算情况说明</w:t>
      </w:r>
    </w:p>
    <w:p>
      <w:pPr>
        <w:spacing w:line="220" w:lineRule="atLeast"/>
        <w:ind w:firstLine="560" w:firstLineChars="200"/>
        <w:rPr>
          <w:sz w:val="28"/>
          <w:szCs w:val="28"/>
        </w:rPr>
      </w:pPr>
      <w:r>
        <w:rPr>
          <w:rFonts w:hint="eastAsia"/>
          <w:sz w:val="28"/>
          <w:szCs w:val="28"/>
        </w:rPr>
        <w:t>2021年度支出合计912.50万元，其中：基本支出768.</w:t>
      </w:r>
      <w:r>
        <w:rPr>
          <w:rFonts w:hint="eastAsia"/>
          <w:sz w:val="28"/>
          <w:szCs w:val="28"/>
          <w:lang w:val="en-US" w:eastAsia="zh-CN"/>
        </w:rPr>
        <w:t>40</w:t>
      </w:r>
      <w:r>
        <w:rPr>
          <w:rFonts w:hint="eastAsia"/>
          <w:sz w:val="28"/>
          <w:szCs w:val="28"/>
        </w:rPr>
        <w:t>万元，占比84.21%；项目支出144.10万元，占比15.79%；上缴上级支出0万元，占比0%，经营支出0万元，占比0%， 对附属单位补助支出0万元，占比0%。</w:t>
      </w:r>
    </w:p>
    <w:p>
      <w:pPr>
        <w:spacing w:line="220" w:lineRule="atLeast"/>
        <w:ind w:firstLine="560" w:firstLineChars="200"/>
        <w:rPr>
          <w:b/>
          <w:sz w:val="28"/>
          <w:szCs w:val="28"/>
        </w:rPr>
      </w:pPr>
      <w:r>
        <w:rPr>
          <w:rFonts w:hint="eastAsia"/>
          <w:b/>
          <w:sz w:val="28"/>
          <w:szCs w:val="28"/>
        </w:rPr>
        <w:t>四、财政拨款收入支出决算总体情况说明</w:t>
      </w:r>
    </w:p>
    <w:p>
      <w:pPr>
        <w:spacing w:line="220" w:lineRule="atLeast"/>
        <w:ind w:firstLine="560" w:firstLineChars="200"/>
        <w:rPr>
          <w:sz w:val="28"/>
          <w:szCs w:val="28"/>
        </w:rPr>
      </w:pPr>
      <w:r>
        <w:rPr>
          <w:rFonts w:hint="eastAsia"/>
          <w:sz w:val="28"/>
          <w:szCs w:val="28"/>
        </w:rPr>
        <w:t>2021年度财政拨款收入总计395.51万元、支出总计397.62万元。与上年相比，财政拨款收入总计增加1.5</w:t>
      </w:r>
      <w:r>
        <w:rPr>
          <w:rFonts w:hint="eastAsia"/>
          <w:sz w:val="28"/>
          <w:szCs w:val="28"/>
          <w:lang w:val="en-US" w:eastAsia="zh-CN"/>
        </w:rPr>
        <w:t>8</w:t>
      </w:r>
      <w:r>
        <w:rPr>
          <w:rFonts w:hint="eastAsia"/>
          <w:sz w:val="28"/>
          <w:szCs w:val="28"/>
        </w:rPr>
        <w:t>万元，增加0.40%，财政拨款支出总计增加-7.01万元，增加-1.73%。主要原因是去年有清理拖欠工程款，今年没有。</w:t>
      </w:r>
    </w:p>
    <w:p>
      <w:pPr>
        <w:spacing w:line="220" w:lineRule="atLeast"/>
        <w:ind w:firstLine="560" w:firstLineChars="200"/>
        <w:rPr>
          <w:b/>
          <w:sz w:val="28"/>
          <w:szCs w:val="28"/>
        </w:rPr>
      </w:pPr>
      <w:r>
        <w:rPr>
          <w:rFonts w:hint="eastAsia"/>
          <w:b/>
          <w:sz w:val="28"/>
          <w:szCs w:val="28"/>
        </w:rPr>
        <w:t>五、一般公共预算财政拨款支出决算情况说明</w:t>
      </w:r>
    </w:p>
    <w:p>
      <w:pPr>
        <w:spacing w:line="220" w:lineRule="atLeast"/>
        <w:ind w:firstLine="420" w:firstLineChars="150"/>
        <w:rPr>
          <w:b/>
          <w:sz w:val="28"/>
          <w:szCs w:val="28"/>
        </w:rPr>
      </w:pPr>
      <w:r>
        <w:rPr>
          <w:rFonts w:hint="eastAsia"/>
          <w:b/>
          <w:sz w:val="28"/>
          <w:szCs w:val="28"/>
        </w:rPr>
        <w:t>（一）财政拨款支出决算总体情况</w:t>
      </w:r>
    </w:p>
    <w:p>
      <w:pPr>
        <w:spacing w:line="220" w:lineRule="atLeast"/>
        <w:ind w:firstLine="560" w:firstLineChars="200"/>
        <w:rPr>
          <w:sz w:val="28"/>
          <w:szCs w:val="28"/>
        </w:rPr>
      </w:pPr>
      <w:r>
        <w:rPr>
          <w:rFonts w:hint="eastAsia"/>
          <w:sz w:val="28"/>
          <w:szCs w:val="28"/>
        </w:rPr>
        <w:t>2021年度财政拨款支出397.62万元，占本年支出合计的43.58%。与上年相比，财政拨款支出增加-7.0</w:t>
      </w:r>
      <w:r>
        <w:rPr>
          <w:rFonts w:hint="eastAsia"/>
          <w:sz w:val="28"/>
          <w:szCs w:val="28"/>
          <w:lang w:val="en-US" w:eastAsia="zh-CN"/>
        </w:rPr>
        <w:t>1</w:t>
      </w:r>
      <w:r>
        <w:rPr>
          <w:rFonts w:hint="eastAsia"/>
          <w:sz w:val="28"/>
          <w:szCs w:val="28"/>
        </w:rPr>
        <w:t>万元，增加-1.73%。主要原因是去年有清理拖欠工程款，今年没有。其中，人员经费286.46万元，占比72.04%， 日常公用经费5.3705万元，占比1.35%。</w:t>
      </w:r>
    </w:p>
    <w:p>
      <w:pPr>
        <w:spacing w:line="220" w:lineRule="atLeast"/>
        <w:ind w:firstLine="420" w:firstLineChars="150"/>
        <w:rPr>
          <w:b/>
          <w:sz w:val="28"/>
          <w:szCs w:val="28"/>
        </w:rPr>
      </w:pPr>
      <w:r>
        <w:rPr>
          <w:rFonts w:hint="eastAsia"/>
          <w:b/>
          <w:sz w:val="28"/>
          <w:szCs w:val="28"/>
        </w:rPr>
        <w:t>（二）财政拨款支出决算结构情况</w:t>
      </w:r>
    </w:p>
    <w:p>
      <w:pPr>
        <w:spacing w:line="220" w:lineRule="atLeast"/>
        <w:ind w:firstLine="560" w:firstLineChars="200"/>
        <w:rPr>
          <w:rFonts w:hint="eastAsia" w:eastAsia="微软雅黑"/>
          <w:sz w:val="28"/>
          <w:szCs w:val="28"/>
          <w:lang w:val="en-US" w:eastAsia="zh-CN"/>
        </w:rPr>
      </w:pPr>
      <w:r>
        <w:rPr>
          <w:rFonts w:hint="eastAsia"/>
          <w:sz w:val="28"/>
          <w:szCs w:val="28"/>
        </w:rPr>
        <w:t>2021年度财政拨款支出397.62万元，主要用于以下方面：一般公共服务（类）支出5.37万元，占1.35%；外交（类）支出0万元，占0%；国防（类）支出0万元，占0%；公共安全（类）支出0万元，占0%；教育（类）支出0万元，占0%；科学技术（类）支出0万元，占0%；文化旅游体育与传媒（类）支出0万元，占0%；社会保障和就业（类）支出28.8</w:t>
      </w:r>
      <w:r>
        <w:rPr>
          <w:rFonts w:hint="eastAsia"/>
          <w:sz w:val="28"/>
          <w:szCs w:val="28"/>
          <w:lang w:val="en-US" w:eastAsia="zh-CN"/>
        </w:rPr>
        <w:t>6</w:t>
      </w:r>
      <w:r>
        <w:rPr>
          <w:rFonts w:hint="eastAsia"/>
          <w:sz w:val="28"/>
          <w:szCs w:val="28"/>
        </w:rPr>
        <w:t>万元，</w:t>
      </w:r>
      <w:r>
        <w:rPr>
          <w:sz w:val="28"/>
          <w:szCs w:val="28"/>
        </w:rPr>
        <w:t xml:space="preserve"> </w:t>
      </w:r>
      <w:r>
        <w:rPr>
          <w:rFonts w:hint="eastAsia"/>
          <w:sz w:val="28"/>
          <w:szCs w:val="28"/>
        </w:rPr>
        <w:t>占7.26%；卫生健康（类）支出340.8</w:t>
      </w:r>
      <w:r>
        <w:rPr>
          <w:rFonts w:hint="eastAsia"/>
          <w:sz w:val="28"/>
          <w:szCs w:val="28"/>
          <w:lang w:val="en-US" w:eastAsia="zh-CN"/>
        </w:rPr>
        <w:t>5</w:t>
      </w:r>
      <w:r>
        <w:rPr>
          <w:rFonts w:hint="eastAsia"/>
          <w:sz w:val="28"/>
          <w:szCs w:val="28"/>
        </w:rPr>
        <w:t>万元，占85.72%；节能环保（类）支出0万元，占0%；城乡社区（类）支出0万元，占0%；农林水（类）支出0万元，占0%；交通运输（类）支出0万元，占0%；资源勘探工业信息等（类）支出0万元，占0%；商业服务业等（类）支出0万元，占0%；金融（类）支出0万元，占0%；援助其他地区（类）支出0万元，占0%；自然资源海洋气象等（类）支出0万元，占0%；住房保障（类）支出22.5</w:t>
      </w:r>
      <w:r>
        <w:rPr>
          <w:rFonts w:hint="eastAsia"/>
          <w:sz w:val="28"/>
          <w:szCs w:val="28"/>
          <w:lang w:val="en-US" w:eastAsia="zh-CN"/>
        </w:rPr>
        <w:t>5</w:t>
      </w:r>
      <w:r>
        <w:rPr>
          <w:rFonts w:hint="eastAsia"/>
          <w:sz w:val="28"/>
          <w:szCs w:val="28"/>
        </w:rPr>
        <w:t>万元，占5.67%；粮油物资储备（类）支出0万元，占0%；国有资本经营预算（类）支出0万元，占0%；灾害防治及应急管理（类）支出0万元，占0%；其（类）支出0万元，占0%；债务还本（类）支出0万元，占0%；债务付息（类）支出0万元，占0%；抗疫特别国债安排（类）支出0万元，占0%</w:t>
      </w:r>
      <w:r>
        <w:rPr>
          <w:rFonts w:hint="eastAsia"/>
          <w:sz w:val="28"/>
          <w:szCs w:val="28"/>
          <w:lang w:val="en-US" w:eastAsia="zh-CN"/>
        </w:rPr>
        <w:t>.</w:t>
      </w:r>
    </w:p>
    <w:p>
      <w:pPr>
        <w:spacing w:line="220" w:lineRule="atLeast"/>
        <w:ind w:firstLine="420" w:firstLineChars="150"/>
        <w:rPr>
          <w:b/>
          <w:sz w:val="28"/>
          <w:szCs w:val="28"/>
        </w:rPr>
      </w:pPr>
      <w:r>
        <w:rPr>
          <w:rFonts w:hint="eastAsia"/>
          <w:b/>
          <w:sz w:val="28"/>
          <w:szCs w:val="28"/>
        </w:rPr>
        <w:t>（三）财政拨款支出决算具体情况</w:t>
      </w:r>
    </w:p>
    <w:p>
      <w:pPr>
        <w:spacing w:line="220" w:lineRule="atLeast"/>
        <w:ind w:firstLine="560" w:firstLineChars="200"/>
        <w:rPr>
          <w:sz w:val="28"/>
          <w:szCs w:val="28"/>
        </w:rPr>
      </w:pPr>
      <w:r>
        <w:rPr>
          <w:rFonts w:hint="eastAsia"/>
          <w:sz w:val="28"/>
          <w:szCs w:val="28"/>
        </w:rPr>
        <w:t>2021年度财政拨款支出年初预算403.38万元，支出决算397.62万元，完成年初预算的98.57%。其中：</w:t>
      </w:r>
    </w:p>
    <w:p>
      <w:pPr>
        <w:spacing w:line="220" w:lineRule="atLeast"/>
        <w:ind w:firstLine="560" w:firstLineChars="200"/>
        <w:rPr>
          <w:rFonts w:hint="eastAsia" w:eastAsia="微软雅黑"/>
          <w:sz w:val="28"/>
          <w:szCs w:val="28"/>
          <w:lang w:val="en-US" w:eastAsia="zh-CN"/>
        </w:rPr>
      </w:pPr>
      <w:r>
        <w:rPr>
          <w:rFonts w:hint="eastAsia"/>
          <w:sz w:val="28"/>
          <w:szCs w:val="28"/>
        </w:rPr>
        <w:t>一般公共服务支出年初预算3.97万元，支出决算5.37万元完成年初预算的135.28%，用于单位工会经费支出。较上年决算增加1.30万元，增长32.02%，主要原因人员及工资增加，工会经费相应增加; 公共安全（类）支出年初预算0万元，支出决算0万元完成年初预算的0%，用于本年度未安排，较上年决算增加0万元，增长0%，主要原因本年度未安排; 教育支出年初预算0万元，支出决算0万元完成年初预算的0%，用于本年度未安排，较上年决算增加0万元，增长0%，主要原因本年度未安排;</w:t>
      </w:r>
      <w:r>
        <w:rPr>
          <w:rFonts w:hint="eastAsia"/>
        </w:rPr>
        <w:t xml:space="preserve"> </w:t>
      </w:r>
      <w:r>
        <w:rPr>
          <w:rFonts w:hint="eastAsia"/>
          <w:sz w:val="28"/>
          <w:szCs w:val="28"/>
        </w:rPr>
        <w:t>科学技术支出年初预算0万元，支出决算0万元完成年初预算的0%，用于本年度未安排，较上年决算增加0万元，增长0%，主要原因本年度未安排; 文化旅游体育与传媒支出年初预算0万元，支出决算0万元完成年初预算的0%，用于本年度未安排，较上年决算增加0万元，增长0%，主要原因本年度未安排; 社会保障和就业支出年初预算29.16万元，支出决算28.8</w:t>
      </w:r>
      <w:r>
        <w:rPr>
          <w:rFonts w:hint="eastAsia"/>
          <w:sz w:val="28"/>
          <w:szCs w:val="28"/>
          <w:lang w:val="en-US" w:eastAsia="zh-CN"/>
        </w:rPr>
        <w:t>6</w:t>
      </w:r>
      <w:r>
        <w:rPr>
          <w:rFonts w:hint="eastAsia"/>
          <w:sz w:val="28"/>
          <w:szCs w:val="28"/>
        </w:rPr>
        <w:t>万元，完成年初预算的98.97%，用于职工养老保险费支出，较上年决算增加1.42万元，增长5.18%，主要原因人员工资增加，相应缴费基数增加; 卫生健康支出年初预算347.16万元，支出决算340.8</w:t>
      </w:r>
      <w:r>
        <w:rPr>
          <w:rFonts w:hint="eastAsia"/>
          <w:sz w:val="28"/>
          <w:szCs w:val="28"/>
          <w:lang w:val="en-US" w:eastAsia="zh-CN"/>
        </w:rPr>
        <w:t>5</w:t>
      </w:r>
      <w:r>
        <w:rPr>
          <w:rFonts w:hint="eastAsia"/>
          <w:sz w:val="28"/>
          <w:szCs w:val="28"/>
        </w:rPr>
        <w:t>万元，完成年初预算的98.18%，用于人员经费和卫生健康项目支出，较上年决算增加6.5</w:t>
      </w:r>
      <w:r>
        <w:rPr>
          <w:rFonts w:hint="eastAsia"/>
          <w:sz w:val="28"/>
          <w:szCs w:val="28"/>
          <w:lang w:val="en-US" w:eastAsia="zh-CN"/>
        </w:rPr>
        <w:t>2</w:t>
      </w:r>
      <w:r>
        <w:rPr>
          <w:rFonts w:hint="eastAsia"/>
          <w:sz w:val="28"/>
          <w:szCs w:val="28"/>
        </w:rPr>
        <w:t>万元，增长1.95%，主要原因人员工资增加;</w:t>
      </w:r>
      <w:r>
        <w:rPr>
          <w:rFonts w:hint="eastAsia"/>
        </w:rPr>
        <w:t xml:space="preserve"> </w:t>
      </w:r>
      <w:r>
        <w:rPr>
          <w:rFonts w:hint="eastAsia"/>
          <w:sz w:val="28"/>
          <w:szCs w:val="28"/>
        </w:rPr>
        <w:t>节能环保支出年初预算0万元，支出决算0万元，完成年初预算的0%，用于本年度未安排，较上年决算增加0万元，增长0%，主要原因本年度未安排; 城乡社区支出年初预算0万元，支出决算0万元，完成年初预算的0%，用于本年度未安排，较上年决算增加0万元，增长0%，主要原因本年度未安排;</w:t>
      </w:r>
      <w:r>
        <w:rPr>
          <w:rFonts w:hint="eastAsia"/>
        </w:rPr>
        <w:t xml:space="preserve"> </w:t>
      </w:r>
      <w:r>
        <w:rPr>
          <w:rFonts w:hint="eastAsia"/>
          <w:sz w:val="28"/>
          <w:szCs w:val="28"/>
        </w:rPr>
        <w:t>农林水支出年初预算0万元，支出决算0万元，完成年初预算的0%，用于本年度未安排，较上年决算增加0万元，增长0%，主要原因本年度未安排;</w:t>
      </w:r>
      <w:r>
        <w:rPr>
          <w:rFonts w:hint="eastAsia"/>
        </w:rPr>
        <w:t xml:space="preserve"> </w:t>
      </w:r>
      <w:r>
        <w:rPr>
          <w:rFonts w:hint="eastAsia"/>
          <w:sz w:val="28"/>
          <w:szCs w:val="28"/>
        </w:rPr>
        <w:t>交通运输支出年初预算0万元，支出决算0万元，完成年初预算的0%，用于本年度未安排，较上年决算增加0万元，增长0%，主要原因本年度未安排;</w:t>
      </w:r>
      <w:r>
        <w:rPr>
          <w:rFonts w:hint="eastAsia"/>
        </w:rPr>
        <w:t xml:space="preserve"> </w:t>
      </w:r>
      <w:r>
        <w:rPr>
          <w:rFonts w:hint="eastAsia"/>
          <w:sz w:val="28"/>
          <w:szCs w:val="28"/>
        </w:rPr>
        <w:t>资源勘探工业信息等支出年初预算0万元，支出决算0万元完成年初预算的0%，用于本年度未安排，较上年决算增加0万元，增长0%，主要原因本年度未安排; 商业服务业等支出年初预算0万元，支出决算0万元，完成年初预算的0%，用于本年度未安排，较上年决算增加0万元，增长0%，主要原因本年度未安排; 金融支出年初预算0万元，支出决算0万元，完成年初预算的0%，用于本年度未安排，较上年决算增加0万元，增长0%，主要原因本年度未安排; 援助其他地区支出年初预算0万元，支出决算0万元完成年初预算的0%，用于本年度未安排，较上年决算增加0万元，增长0%，主要原因本年度未安排; 自然资源海洋气象等支出年初预算0万元，支出决算0万元，完成年初预算的0%，用于本年度未安排，较上年决算增加0万元，增长0%，主要原因本年度未安排; 住房保障支出年初预算23.09万元，支出决算22.5</w:t>
      </w:r>
      <w:r>
        <w:rPr>
          <w:rFonts w:hint="eastAsia"/>
          <w:sz w:val="28"/>
          <w:szCs w:val="28"/>
          <w:lang w:val="en-US" w:eastAsia="zh-CN"/>
        </w:rPr>
        <w:t>5</w:t>
      </w:r>
      <w:r>
        <w:rPr>
          <w:rFonts w:hint="eastAsia"/>
          <w:sz w:val="28"/>
          <w:szCs w:val="28"/>
        </w:rPr>
        <w:t>万元，完成年初预算的97.65%，用于职工住房公积金配套支出，较上年决算增加2.7</w:t>
      </w:r>
      <w:r>
        <w:rPr>
          <w:rFonts w:hint="eastAsia"/>
          <w:sz w:val="28"/>
          <w:szCs w:val="28"/>
          <w:lang w:val="en-US" w:eastAsia="zh-CN"/>
        </w:rPr>
        <w:t>7</w:t>
      </w:r>
      <w:r>
        <w:rPr>
          <w:rFonts w:hint="eastAsia"/>
          <w:sz w:val="28"/>
          <w:szCs w:val="28"/>
        </w:rPr>
        <w:t>万元，增长13.99%，主要原因人员及工资增加，相应的配套支出增加; 粮油物资储备支出年初预算0万元，支出决算0万元，完成年初预算的0%，用于本年度未安排，较上年决算增加0万元，增长0%，主要原因本年度未安排; 国有资本经营预算支出年初预算0万元，支出决算0万元完成年初预算的0%，用于本年度未安排，较上年决算增加0万元，增长0%，主要原因本年度未安排;</w:t>
      </w:r>
      <w:r>
        <w:rPr>
          <w:rFonts w:hint="eastAsia"/>
        </w:rPr>
        <w:t xml:space="preserve"> </w:t>
      </w:r>
      <w:r>
        <w:rPr>
          <w:rFonts w:hint="eastAsia"/>
          <w:sz w:val="28"/>
          <w:szCs w:val="28"/>
        </w:rPr>
        <w:t>灾害防治及应急管理支出年初预算0万元，支出决算0万元，完成年初预算的0%，用于本年度未安排，较上年决算增加0万元，增长0%，主要原因本年度未安排;其他支出年初预算0万元，支出决算0万元完成年初预算的0%，用于本年度未安排，较上年决算增加0万元，增长0%，主要原因本年度未安排;债务还本支出年初预算0万元，支出决算0万元，完成年初预算的0%，用于本年度未安排，较上年决算增加0万元，增长0%，主要原因本年度未安排;债务付息支出年初预算0万元，支出决算0万元完成年初预算的0%，用于本年度未安排，较上年决算增加0万元，增长0%，主要原因本年度未安排; 抗疫特别国债安排的支出年初预算0万元，支出决算0万元，完成年初预算的0%，用于本年度未安排，较上年决算增加0万元，增长0%，主要原因本年度未安排</w:t>
      </w:r>
      <w:r>
        <w:rPr>
          <w:rFonts w:hint="eastAsia"/>
          <w:sz w:val="28"/>
          <w:szCs w:val="28"/>
          <w:lang w:val="en-US" w:eastAsia="zh-CN"/>
        </w:rPr>
        <w:t>.</w:t>
      </w:r>
    </w:p>
    <w:p>
      <w:pPr>
        <w:spacing w:line="220" w:lineRule="atLeast"/>
        <w:ind w:firstLine="560" w:firstLineChars="200"/>
        <w:rPr>
          <w:b/>
          <w:sz w:val="28"/>
          <w:szCs w:val="28"/>
        </w:rPr>
      </w:pPr>
      <w:r>
        <w:rPr>
          <w:rFonts w:hint="eastAsia"/>
          <w:b/>
          <w:sz w:val="28"/>
          <w:szCs w:val="28"/>
        </w:rPr>
        <w:t>六、一般公共预算财政拨款基本支出决算情况说明</w:t>
      </w:r>
    </w:p>
    <w:p>
      <w:pPr>
        <w:spacing w:line="220" w:lineRule="atLeast"/>
        <w:ind w:firstLine="560" w:firstLineChars="200"/>
        <w:rPr>
          <w:sz w:val="28"/>
          <w:szCs w:val="28"/>
        </w:rPr>
      </w:pPr>
      <w:r>
        <w:rPr>
          <w:rFonts w:hint="eastAsia"/>
          <w:sz w:val="28"/>
          <w:szCs w:val="28"/>
        </w:rPr>
        <w:t>2021年度财政拨款基本支出291.83万元，其中：人员经费286.46万元，主要包括人员工资及养老保险、医疗保险、住房公积金配套支出；公用经费5.37万元，主要包括工会经费支出。</w:t>
      </w:r>
    </w:p>
    <w:p>
      <w:pPr>
        <w:spacing w:line="220" w:lineRule="atLeast"/>
        <w:ind w:firstLine="560" w:firstLineChars="200"/>
        <w:rPr>
          <w:b/>
          <w:sz w:val="28"/>
          <w:szCs w:val="28"/>
        </w:rPr>
      </w:pPr>
      <w:r>
        <w:rPr>
          <w:rFonts w:hint="eastAsia"/>
          <w:b/>
          <w:sz w:val="28"/>
          <w:szCs w:val="28"/>
        </w:rPr>
        <w:t>七、一般公共预算财政拨款“三公”经费支出决算情况说明</w:t>
      </w:r>
    </w:p>
    <w:p>
      <w:pPr>
        <w:spacing w:line="220" w:lineRule="atLeast"/>
        <w:ind w:firstLine="560" w:firstLineChars="200"/>
        <w:rPr>
          <w:b/>
          <w:sz w:val="28"/>
          <w:szCs w:val="28"/>
        </w:rPr>
      </w:pPr>
      <w:r>
        <w:rPr>
          <w:rFonts w:hint="eastAsia"/>
          <w:b/>
          <w:sz w:val="28"/>
          <w:szCs w:val="28"/>
        </w:rPr>
        <w:t>（一）“三公”经费财政拨款支出决算总体情况说明。</w:t>
      </w:r>
    </w:p>
    <w:p>
      <w:pPr>
        <w:spacing w:line="220" w:lineRule="atLeast"/>
        <w:ind w:firstLine="560" w:firstLineChars="200"/>
        <w:rPr>
          <w:sz w:val="28"/>
          <w:szCs w:val="28"/>
        </w:rPr>
      </w:pPr>
      <w:r>
        <w:rPr>
          <w:rFonts w:hint="eastAsia"/>
          <w:sz w:val="28"/>
          <w:szCs w:val="28"/>
        </w:rPr>
        <w:t>2021年度“三公”经费财政拨款支出预算0万元，支出决算0万元，完成预算的0%，比上年增加0万元，增长0%，主要原因是：本单位无三公经费。</w:t>
      </w:r>
    </w:p>
    <w:p>
      <w:pPr>
        <w:spacing w:line="220" w:lineRule="atLeast"/>
        <w:ind w:firstLine="560" w:firstLineChars="200"/>
        <w:rPr>
          <w:b/>
          <w:sz w:val="28"/>
          <w:szCs w:val="28"/>
        </w:rPr>
      </w:pPr>
      <w:r>
        <w:rPr>
          <w:rFonts w:hint="eastAsia"/>
          <w:b/>
          <w:sz w:val="28"/>
          <w:szCs w:val="28"/>
        </w:rPr>
        <w:t>（二）“三公”经费财政拨款支出决算具体情况说明。</w:t>
      </w:r>
    </w:p>
    <w:p>
      <w:pPr>
        <w:spacing w:line="220" w:lineRule="atLeast"/>
        <w:ind w:firstLine="560" w:firstLineChars="200"/>
        <w:rPr>
          <w:sz w:val="28"/>
          <w:szCs w:val="28"/>
        </w:rPr>
      </w:pPr>
      <w:r>
        <w:rPr>
          <w:rFonts w:hint="eastAsia"/>
          <w:sz w:val="28"/>
          <w:szCs w:val="28"/>
        </w:rPr>
        <w:t>本单位无三公经费</w:t>
      </w:r>
    </w:p>
    <w:p>
      <w:pPr>
        <w:ind w:firstLine="636"/>
        <w:rPr>
          <w:rFonts w:ascii="仿宋_GB2312" w:hAnsi="仿宋" w:eastAsia="仿宋_GB2312"/>
          <w:b/>
          <w:sz w:val="32"/>
          <w:szCs w:val="32"/>
        </w:rPr>
      </w:pPr>
      <w:r>
        <w:rPr>
          <w:rFonts w:hint="eastAsia" w:ascii="仿宋_GB2312" w:hAnsi="仿宋" w:eastAsia="仿宋_GB2312"/>
          <w:b/>
          <w:sz w:val="32"/>
          <w:szCs w:val="32"/>
        </w:rPr>
        <w:t>（1）与预算数比较</w:t>
      </w:r>
    </w:p>
    <w:tbl>
      <w:tblPr>
        <w:tblStyle w:val="4"/>
        <w:tblW w:w="0" w:type="auto"/>
        <w:tblInd w:w="91" w:type="dxa"/>
        <w:tblLayout w:type="autofit"/>
        <w:tblCellMar>
          <w:top w:w="0" w:type="dxa"/>
          <w:left w:w="108" w:type="dxa"/>
          <w:bottom w:w="0" w:type="dxa"/>
          <w:right w:w="108" w:type="dxa"/>
        </w:tblCellMar>
      </w:tblPr>
      <w:tblGrid>
        <w:gridCol w:w="2876"/>
        <w:gridCol w:w="1819"/>
        <w:gridCol w:w="1843"/>
        <w:gridCol w:w="1843"/>
      </w:tblGrid>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2021三公经费明细</w:t>
            </w:r>
          </w:p>
        </w:tc>
        <w:tc>
          <w:tcPr>
            <w:tcW w:w="18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0"/>
                <w:szCs w:val="20"/>
              </w:rPr>
            </w:pPr>
            <w:r>
              <w:rPr>
                <w:rFonts w:hint="eastAsia" w:ascii="宋体" w:hAnsi="宋体" w:cs="宋体"/>
                <w:b/>
                <w:bCs/>
                <w:sz w:val="20"/>
                <w:szCs w:val="20"/>
              </w:rPr>
              <w:t>预算数</w:t>
            </w:r>
            <w:r>
              <w:rPr>
                <w:rFonts w:hint="eastAsia" w:ascii="宋体" w:hAnsi="宋体" w:cs="宋体"/>
                <w:b/>
                <w:bCs/>
              </w:rPr>
              <w:t>（万元）</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0"/>
                <w:szCs w:val="20"/>
              </w:rPr>
            </w:pPr>
            <w:r>
              <w:rPr>
                <w:rFonts w:hint="eastAsia" w:ascii="宋体" w:hAnsi="宋体" w:cs="宋体"/>
                <w:b/>
                <w:bCs/>
                <w:sz w:val="20"/>
                <w:szCs w:val="20"/>
              </w:rPr>
              <w:t>决算数</w:t>
            </w:r>
            <w:r>
              <w:rPr>
                <w:rFonts w:hint="eastAsia" w:ascii="宋体" w:hAnsi="宋体" w:cs="宋体"/>
                <w:b/>
                <w:bCs/>
              </w:rPr>
              <w:t>（万元）</w:t>
            </w:r>
          </w:p>
        </w:tc>
        <w:tc>
          <w:tcPr>
            <w:tcW w:w="1843"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 w:val="20"/>
                <w:szCs w:val="20"/>
              </w:rPr>
            </w:pPr>
            <w:r>
              <w:rPr>
                <w:rFonts w:hint="eastAsia" w:ascii="宋体" w:hAnsi="宋体" w:cs="宋体"/>
                <w:b/>
                <w:bCs/>
                <w:sz w:val="20"/>
                <w:szCs w:val="20"/>
              </w:rPr>
              <w:t>决算完成预算比例%</w:t>
            </w:r>
          </w:p>
        </w:tc>
      </w:tr>
      <w:tr>
        <w:tblPrEx>
          <w:tblCellMar>
            <w:top w:w="0" w:type="dxa"/>
            <w:left w:w="108" w:type="dxa"/>
            <w:bottom w:w="0" w:type="dxa"/>
            <w:right w:w="108" w:type="dxa"/>
          </w:tblCellMar>
        </w:tblPrEx>
        <w:trPr>
          <w:trHeight w:val="552"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b/>
                <w:bCs/>
              </w:rPr>
            </w:pPr>
            <w:r>
              <w:rPr>
                <w:rFonts w:hint="eastAsia" w:ascii="宋体" w:hAnsi="宋体" w:cs="宋体"/>
                <w:b/>
                <w:bCs/>
              </w:rPr>
              <w:t>合计</w:t>
            </w:r>
          </w:p>
        </w:tc>
        <w:tc>
          <w:tcPr>
            <w:tcW w:w="18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　0</w:t>
            </w:r>
          </w:p>
        </w:tc>
        <w:tc>
          <w:tcPr>
            <w:tcW w:w="1843" w:type="dxa"/>
            <w:tcBorders>
              <w:top w:val="single" w:color="auto" w:sz="4" w:space="0"/>
              <w:left w:val="single" w:color="auto" w:sz="4" w:space="0"/>
              <w:bottom w:val="single" w:color="auto" w:sz="4" w:space="0"/>
              <w:right w:val="single" w:color="auto" w:sz="4" w:space="0"/>
            </w:tcBorders>
          </w:tcPr>
          <w:p>
            <w:pP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因公出国（境）费</w:t>
            </w:r>
          </w:p>
        </w:tc>
        <w:tc>
          <w:tcPr>
            <w:tcW w:w="18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tcPr>
          <w:p>
            <w:pP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公务用车购置及运行维护费</w:t>
            </w:r>
          </w:p>
        </w:tc>
        <w:tc>
          <w:tcPr>
            <w:tcW w:w="18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　0</w:t>
            </w:r>
          </w:p>
        </w:tc>
        <w:tc>
          <w:tcPr>
            <w:tcW w:w="184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　0</w:t>
            </w:r>
          </w:p>
        </w:tc>
        <w:tc>
          <w:tcPr>
            <w:tcW w:w="1843" w:type="dxa"/>
            <w:tcBorders>
              <w:top w:val="single" w:color="auto" w:sz="4" w:space="0"/>
              <w:left w:val="single" w:color="auto" w:sz="4" w:space="0"/>
              <w:bottom w:val="single" w:color="auto" w:sz="4" w:space="0"/>
              <w:right w:val="single" w:color="auto" w:sz="4" w:space="0"/>
            </w:tcBorders>
          </w:tcPr>
          <w:p>
            <w:pP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 xml:space="preserve">   其中：公务用车购置费</w:t>
            </w:r>
          </w:p>
        </w:tc>
        <w:tc>
          <w:tcPr>
            <w:tcW w:w="18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　0</w:t>
            </w:r>
          </w:p>
        </w:tc>
        <w:tc>
          <w:tcPr>
            <w:tcW w:w="184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　0</w:t>
            </w:r>
          </w:p>
        </w:tc>
        <w:tc>
          <w:tcPr>
            <w:tcW w:w="1843" w:type="dxa"/>
            <w:tcBorders>
              <w:top w:val="single" w:color="auto" w:sz="4" w:space="0"/>
              <w:left w:val="single" w:color="auto" w:sz="4" w:space="0"/>
              <w:bottom w:val="single" w:color="auto" w:sz="4" w:space="0"/>
              <w:right w:val="single" w:color="auto" w:sz="4" w:space="0"/>
            </w:tcBorders>
          </w:tcPr>
          <w:p>
            <w:pP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0"/>
                <w:szCs w:val="20"/>
              </w:rPr>
            </w:pPr>
            <w:r>
              <w:rPr>
                <w:rFonts w:hint="eastAsia" w:ascii="宋体" w:hAnsi="宋体" w:cs="宋体"/>
              </w:rPr>
              <w:t xml:space="preserve">      </w:t>
            </w:r>
            <w:r>
              <w:rPr>
                <w:rFonts w:hint="eastAsia" w:ascii="宋体" w:hAnsi="宋体" w:cs="宋体"/>
                <w:sz w:val="20"/>
                <w:szCs w:val="20"/>
              </w:rPr>
              <w:t xml:space="preserve">  公务用车运行维护费</w:t>
            </w:r>
          </w:p>
        </w:tc>
        <w:tc>
          <w:tcPr>
            <w:tcW w:w="18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　0</w:t>
            </w:r>
          </w:p>
        </w:tc>
        <w:tc>
          <w:tcPr>
            <w:tcW w:w="184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　0</w:t>
            </w:r>
          </w:p>
        </w:tc>
        <w:tc>
          <w:tcPr>
            <w:tcW w:w="1843" w:type="dxa"/>
            <w:tcBorders>
              <w:top w:val="single" w:color="auto" w:sz="4" w:space="0"/>
              <w:left w:val="single" w:color="auto" w:sz="4" w:space="0"/>
              <w:bottom w:val="single" w:color="auto" w:sz="4" w:space="0"/>
              <w:right w:val="single" w:color="auto" w:sz="4" w:space="0"/>
            </w:tcBorders>
          </w:tcPr>
          <w:p>
            <w:pP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公务接待费</w:t>
            </w:r>
          </w:p>
        </w:tc>
        <w:tc>
          <w:tcPr>
            <w:tcW w:w="18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　0</w:t>
            </w:r>
          </w:p>
        </w:tc>
        <w:tc>
          <w:tcPr>
            <w:tcW w:w="184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　0</w:t>
            </w:r>
          </w:p>
        </w:tc>
        <w:tc>
          <w:tcPr>
            <w:tcW w:w="1843" w:type="dxa"/>
            <w:tcBorders>
              <w:top w:val="single" w:color="auto" w:sz="4" w:space="0"/>
              <w:left w:val="single" w:color="auto" w:sz="4" w:space="0"/>
              <w:bottom w:val="single" w:color="auto" w:sz="4" w:space="0"/>
              <w:right w:val="single" w:color="auto" w:sz="4" w:space="0"/>
            </w:tcBorders>
          </w:tcPr>
          <w:p>
            <w:pPr>
              <w:rPr>
                <w:rFonts w:ascii="宋体" w:hAnsi="宋体" w:cs="宋体"/>
              </w:rPr>
            </w:pPr>
            <w:r>
              <w:rPr>
                <w:rFonts w:hint="eastAsia" w:ascii="宋体" w:hAnsi="宋体" w:cs="宋体"/>
              </w:rPr>
              <w:t>0</w:t>
            </w:r>
          </w:p>
        </w:tc>
      </w:tr>
    </w:tbl>
    <w:p>
      <w:pPr>
        <w:rPr>
          <w:rFonts w:ascii="仿宋_GB2312" w:hAnsi="仿宋" w:eastAsia="仿宋_GB2312"/>
          <w:b/>
          <w:sz w:val="32"/>
          <w:szCs w:val="32"/>
        </w:rPr>
      </w:pPr>
    </w:p>
    <w:p>
      <w:pPr>
        <w:ind w:firstLine="643" w:firstLineChars="200"/>
        <w:rPr>
          <w:rFonts w:ascii="仿宋_GB2312" w:hAnsi="仿宋" w:eastAsia="仿宋_GB2312"/>
          <w:b/>
          <w:sz w:val="32"/>
          <w:szCs w:val="32"/>
        </w:rPr>
      </w:pPr>
      <w:r>
        <w:rPr>
          <w:rFonts w:hint="eastAsia" w:ascii="仿宋_GB2312" w:hAnsi="仿宋" w:eastAsia="仿宋_GB2312"/>
          <w:b/>
          <w:sz w:val="32"/>
          <w:szCs w:val="32"/>
        </w:rPr>
        <w:t>（2）上下年度比较</w:t>
      </w:r>
    </w:p>
    <w:tbl>
      <w:tblPr>
        <w:tblStyle w:val="4"/>
        <w:tblW w:w="8431" w:type="dxa"/>
        <w:tblInd w:w="91" w:type="dxa"/>
        <w:tblLayout w:type="autofit"/>
        <w:tblCellMar>
          <w:top w:w="0" w:type="dxa"/>
          <w:left w:w="108" w:type="dxa"/>
          <w:bottom w:w="0" w:type="dxa"/>
          <w:right w:w="108" w:type="dxa"/>
        </w:tblCellMar>
      </w:tblPr>
      <w:tblGrid>
        <w:gridCol w:w="2711"/>
        <w:gridCol w:w="1701"/>
        <w:gridCol w:w="1417"/>
        <w:gridCol w:w="1418"/>
        <w:gridCol w:w="1184"/>
      </w:tblGrid>
      <w:tr>
        <w:tblPrEx>
          <w:tblCellMar>
            <w:top w:w="0" w:type="dxa"/>
            <w:left w:w="108" w:type="dxa"/>
            <w:bottom w:w="0" w:type="dxa"/>
            <w:right w:w="108" w:type="dxa"/>
          </w:tblCellMar>
        </w:tblPrEx>
        <w:trPr>
          <w:trHeight w:val="510" w:hRule="atLeast"/>
        </w:trPr>
        <w:tc>
          <w:tcPr>
            <w:tcW w:w="2711"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三公经费明细</w:t>
            </w:r>
          </w:p>
        </w:tc>
        <w:tc>
          <w:tcPr>
            <w:tcW w:w="3118"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决算数（万元）</w:t>
            </w:r>
          </w:p>
        </w:tc>
        <w:tc>
          <w:tcPr>
            <w:tcW w:w="1418" w:type="dxa"/>
            <w:tcBorders>
              <w:top w:val="single" w:color="auto" w:sz="4" w:space="0"/>
              <w:left w:val="nil"/>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比上年增加</w:t>
            </w:r>
          </w:p>
        </w:tc>
        <w:tc>
          <w:tcPr>
            <w:tcW w:w="1184" w:type="dxa"/>
            <w:vMerge w:val="restart"/>
            <w:tcBorders>
              <w:top w:val="single" w:color="auto" w:sz="4" w:space="0"/>
              <w:left w:val="nil"/>
              <w:right w:val="single" w:color="auto" w:sz="4" w:space="0"/>
            </w:tcBorders>
          </w:tcPr>
          <w:p>
            <w:pPr>
              <w:jc w:val="center"/>
              <w:rPr>
                <w:rFonts w:ascii="宋体" w:hAnsi="宋体" w:cs="宋体"/>
                <w:b/>
                <w:bCs/>
              </w:rPr>
            </w:pPr>
            <w:r>
              <w:rPr>
                <w:rFonts w:hint="eastAsia" w:ascii="宋体" w:hAnsi="宋体" w:cs="宋体"/>
                <w:b/>
                <w:bCs/>
              </w:rPr>
              <w:t>比上年增加比例%</w:t>
            </w:r>
          </w:p>
        </w:tc>
      </w:tr>
      <w:tr>
        <w:tblPrEx>
          <w:tblCellMar>
            <w:top w:w="0" w:type="dxa"/>
            <w:left w:w="108" w:type="dxa"/>
            <w:bottom w:w="0" w:type="dxa"/>
            <w:right w:w="108" w:type="dxa"/>
          </w:tblCellMar>
        </w:tblPrEx>
        <w:trPr>
          <w:trHeight w:val="292" w:hRule="atLeast"/>
        </w:trPr>
        <w:tc>
          <w:tcPr>
            <w:tcW w:w="271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rPr>
            </w:pP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2021</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2021-2020</w:t>
            </w:r>
          </w:p>
        </w:tc>
        <w:tc>
          <w:tcPr>
            <w:tcW w:w="1184" w:type="dxa"/>
            <w:vMerge w:val="continue"/>
            <w:tcBorders>
              <w:left w:val="single" w:color="auto" w:sz="4" w:space="0"/>
              <w:bottom w:val="single" w:color="auto" w:sz="4" w:space="0"/>
              <w:right w:val="single" w:color="auto" w:sz="4" w:space="0"/>
            </w:tcBorders>
          </w:tcPr>
          <w:p>
            <w:pPr>
              <w:jc w:val="center"/>
              <w:rPr>
                <w:rFonts w:ascii="宋体" w:hAnsi="宋体" w:cs="宋体"/>
                <w:b/>
                <w:bCs/>
              </w:rPr>
            </w:pPr>
          </w:p>
        </w:tc>
      </w:tr>
      <w:tr>
        <w:tblPrEx>
          <w:tblCellMar>
            <w:top w:w="0" w:type="dxa"/>
            <w:left w:w="108" w:type="dxa"/>
            <w:bottom w:w="0" w:type="dxa"/>
            <w:right w:w="108" w:type="dxa"/>
          </w:tblCellMar>
        </w:tblPrEx>
        <w:trPr>
          <w:trHeight w:val="540" w:hRule="atLeast"/>
        </w:trPr>
        <w:tc>
          <w:tcPr>
            <w:tcW w:w="2711" w:type="dxa"/>
            <w:tcBorders>
              <w:top w:val="nil"/>
              <w:left w:val="single" w:color="auto" w:sz="4" w:space="0"/>
              <w:bottom w:val="single" w:color="auto" w:sz="4" w:space="0"/>
              <w:right w:val="single" w:color="auto" w:sz="4" w:space="0"/>
            </w:tcBorders>
            <w:noWrap/>
            <w:vAlign w:val="center"/>
          </w:tcPr>
          <w:p>
            <w:pPr>
              <w:rPr>
                <w:rFonts w:ascii="宋体" w:hAnsi="宋体" w:cs="宋体"/>
                <w:b/>
                <w:bCs/>
              </w:rPr>
            </w:pPr>
            <w:r>
              <w:rPr>
                <w:rFonts w:hint="eastAsia" w:ascii="宋体" w:hAnsi="宋体" w:cs="宋体"/>
                <w:b/>
                <w:bCs/>
              </w:rPr>
              <w:t>合计</w:t>
            </w: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2711" w:type="dxa"/>
            <w:tcBorders>
              <w:top w:val="nil"/>
              <w:left w:val="single" w:color="auto" w:sz="4" w:space="0"/>
              <w:bottom w:val="single" w:color="auto" w:sz="4" w:space="0"/>
              <w:right w:val="single" w:color="auto" w:sz="4" w:space="0"/>
            </w:tcBorders>
            <w:noWrap/>
            <w:vAlign w:val="center"/>
          </w:tcPr>
          <w:p>
            <w:pPr>
              <w:rPr>
                <w:rFonts w:ascii="宋体" w:hAnsi="宋体" w:cs="宋体"/>
                <w:sz w:val="18"/>
                <w:szCs w:val="18"/>
              </w:rPr>
            </w:pPr>
            <w:r>
              <w:rPr>
                <w:rFonts w:hint="eastAsia" w:ascii="宋体" w:hAnsi="宋体" w:cs="宋体"/>
                <w:sz w:val="18"/>
                <w:szCs w:val="18"/>
              </w:rPr>
              <w:t>因公出国（境）费</w:t>
            </w:r>
          </w:p>
        </w:tc>
        <w:tc>
          <w:tcPr>
            <w:tcW w:w="1701" w:type="dxa"/>
            <w:tcBorders>
              <w:top w:val="single" w:color="auto" w:sz="4" w:space="0"/>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7" w:type="dxa"/>
            <w:tcBorders>
              <w:top w:val="single" w:color="auto" w:sz="4" w:space="0"/>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8" w:type="dxa"/>
            <w:tcBorders>
              <w:top w:val="single" w:color="auto" w:sz="4" w:space="0"/>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184"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271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18"/>
                <w:szCs w:val="18"/>
              </w:rPr>
            </w:pPr>
            <w:r>
              <w:rPr>
                <w:rFonts w:hint="eastAsia" w:ascii="宋体" w:hAnsi="宋体" w:cs="宋体"/>
                <w:sz w:val="18"/>
                <w:szCs w:val="18"/>
              </w:rPr>
              <w:t>公务用车购置及运行维护费</w:t>
            </w: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271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18"/>
                <w:szCs w:val="18"/>
              </w:rPr>
            </w:pPr>
            <w:r>
              <w:rPr>
                <w:rFonts w:hint="eastAsia" w:ascii="宋体" w:hAnsi="宋体" w:cs="宋体"/>
                <w:sz w:val="18"/>
                <w:szCs w:val="18"/>
              </w:rPr>
              <w:t xml:space="preserve">   其中：公务用车购置费</w:t>
            </w: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271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18"/>
                <w:szCs w:val="18"/>
              </w:rPr>
            </w:pPr>
            <w:r>
              <w:rPr>
                <w:rFonts w:hint="eastAsia" w:ascii="宋体" w:hAnsi="宋体" w:cs="宋体"/>
                <w:sz w:val="18"/>
                <w:szCs w:val="18"/>
              </w:rPr>
              <w:t xml:space="preserve">        公务用车运行维护费</w:t>
            </w: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271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18"/>
                <w:szCs w:val="18"/>
              </w:rPr>
            </w:pPr>
            <w:r>
              <w:rPr>
                <w:rFonts w:hint="eastAsia" w:ascii="宋体" w:hAnsi="宋体" w:cs="宋体"/>
                <w:sz w:val="18"/>
                <w:szCs w:val="18"/>
              </w:rPr>
              <w:t>公务接待费</w:t>
            </w:r>
          </w:p>
        </w:tc>
        <w:tc>
          <w:tcPr>
            <w:tcW w:w="1701" w:type="dxa"/>
            <w:tcBorders>
              <w:top w:val="single" w:color="auto" w:sz="4" w:space="0"/>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7" w:type="dxa"/>
            <w:tcBorders>
              <w:top w:val="single" w:color="auto" w:sz="4" w:space="0"/>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8" w:type="dxa"/>
            <w:tcBorders>
              <w:top w:val="single" w:color="auto" w:sz="4" w:space="0"/>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184"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r>
    </w:tbl>
    <w:p>
      <w:pPr>
        <w:ind w:firstLine="636"/>
        <w:rPr>
          <w:rFonts w:ascii="仿宋_GB2312" w:hAnsi="仿宋" w:eastAsia="仿宋_GB2312"/>
          <w:b/>
          <w:sz w:val="32"/>
          <w:szCs w:val="32"/>
        </w:rPr>
      </w:pPr>
      <w:r>
        <w:rPr>
          <w:rFonts w:hint="eastAsia" w:ascii="仿宋_GB2312" w:hAnsi="仿宋" w:eastAsia="仿宋_GB2312"/>
          <w:b/>
          <w:sz w:val="32"/>
          <w:szCs w:val="32"/>
        </w:rPr>
        <w:t>（3）具体情况说明</w:t>
      </w:r>
    </w:p>
    <w:p>
      <w:pPr>
        <w:ind w:firstLine="560" w:firstLineChars="200"/>
        <w:rPr>
          <w:rFonts w:ascii="微软雅黑" w:hAnsi="微软雅黑" w:cs="宋体"/>
          <w:sz w:val="28"/>
          <w:szCs w:val="28"/>
        </w:rPr>
      </w:pPr>
      <w:r>
        <w:rPr>
          <w:rFonts w:hint="eastAsia" w:ascii="微软雅黑" w:hAnsi="微软雅黑"/>
          <w:sz w:val="28"/>
          <w:szCs w:val="28"/>
        </w:rPr>
        <w:t>2021年一般公共预算安排的“三公”经费年初预算</w:t>
      </w:r>
      <w:r>
        <w:rPr>
          <w:rFonts w:hint="eastAsia" w:ascii="微软雅黑" w:hAnsi="微软雅黑" w:cs="宋体"/>
          <w:sz w:val="28"/>
          <w:szCs w:val="28"/>
        </w:rPr>
        <w:t>0</w:t>
      </w:r>
      <w:r>
        <w:rPr>
          <w:rFonts w:hint="eastAsia" w:ascii="微软雅黑" w:hAnsi="微软雅黑"/>
          <w:sz w:val="28"/>
          <w:szCs w:val="28"/>
        </w:rPr>
        <w:t>万元，支出决算</w:t>
      </w:r>
      <w:r>
        <w:rPr>
          <w:rFonts w:hint="eastAsia" w:ascii="微软雅黑" w:hAnsi="微软雅黑" w:cs="宋体"/>
          <w:sz w:val="28"/>
          <w:szCs w:val="28"/>
        </w:rPr>
        <w:t>　0</w:t>
      </w:r>
      <w:r>
        <w:rPr>
          <w:rFonts w:hint="eastAsia" w:ascii="微软雅黑" w:hAnsi="微软雅黑"/>
          <w:sz w:val="28"/>
          <w:szCs w:val="28"/>
        </w:rPr>
        <w:t>万元，完成年初预算的</w:t>
      </w:r>
      <w:r>
        <w:rPr>
          <w:rFonts w:hint="eastAsia" w:ascii="微软雅黑" w:hAnsi="微软雅黑" w:cs="宋体"/>
          <w:sz w:val="28"/>
          <w:szCs w:val="28"/>
        </w:rPr>
        <w:t>0</w:t>
      </w:r>
      <w:r>
        <w:rPr>
          <w:rFonts w:hint="eastAsia" w:ascii="微软雅黑" w:hAnsi="微软雅黑"/>
          <w:sz w:val="28"/>
          <w:szCs w:val="28"/>
        </w:rPr>
        <w:t>%，比上年增加</w:t>
      </w:r>
      <w:r>
        <w:rPr>
          <w:rFonts w:hint="eastAsia" w:ascii="微软雅黑" w:hAnsi="微软雅黑" w:cs="宋体"/>
          <w:sz w:val="28"/>
          <w:szCs w:val="28"/>
        </w:rPr>
        <w:t>0</w:t>
      </w:r>
      <w:r>
        <w:rPr>
          <w:rFonts w:hint="eastAsia" w:ascii="微软雅黑" w:hAnsi="微软雅黑"/>
          <w:sz w:val="28"/>
          <w:szCs w:val="28"/>
        </w:rPr>
        <w:t>万元，增长</w:t>
      </w:r>
      <w:r>
        <w:rPr>
          <w:rFonts w:hint="eastAsia" w:ascii="微软雅黑" w:hAnsi="微软雅黑" w:cs="宋体"/>
          <w:sz w:val="28"/>
          <w:szCs w:val="28"/>
        </w:rPr>
        <w:t>0</w:t>
      </w:r>
      <w:r>
        <w:rPr>
          <w:rFonts w:hint="eastAsia" w:ascii="微软雅黑" w:hAnsi="微软雅黑"/>
          <w:sz w:val="28"/>
          <w:szCs w:val="28"/>
        </w:rPr>
        <w:t>%。其中：因公出国（境）费用年初预算0万元，支出决算0万元，完成年初预算的0%，比上年增加0万元，增长0%，原因是我单位2021年度未发生因公出国（境）费用（</w:t>
      </w:r>
      <w:r>
        <w:rPr>
          <w:rFonts w:ascii="微软雅黑" w:hAnsi="微软雅黑"/>
          <w:sz w:val="28"/>
          <w:szCs w:val="28"/>
        </w:rPr>
        <w:t>全年使用一般公共预算拨款支出安排的出国（境）团组</w:t>
      </w:r>
      <w:r>
        <w:rPr>
          <w:rFonts w:hint="eastAsia" w:ascii="微软雅黑" w:hAnsi="微软雅黑"/>
          <w:sz w:val="28"/>
          <w:szCs w:val="28"/>
        </w:rPr>
        <w:t>0</w:t>
      </w:r>
      <w:r>
        <w:rPr>
          <w:rFonts w:ascii="微软雅黑" w:hAnsi="微软雅黑"/>
          <w:sz w:val="28"/>
          <w:szCs w:val="28"/>
        </w:rPr>
        <w:t>个，累计</w:t>
      </w:r>
      <w:r>
        <w:rPr>
          <w:rFonts w:hint="eastAsia" w:ascii="微软雅黑" w:hAnsi="微软雅黑"/>
          <w:sz w:val="28"/>
          <w:szCs w:val="28"/>
        </w:rPr>
        <w:t>0</w:t>
      </w:r>
      <w:r>
        <w:rPr>
          <w:rFonts w:ascii="微软雅黑" w:hAnsi="微软雅黑"/>
          <w:sz w:val="28"/>
          <w:szCs w:val="28"/>
        </w:rPr>
        <w:t>人次</w:t>
      </w:r>
      <w:r>
        <w:rPr>
          <w:rFonts w:hint="eastAsia" w:ascii="微软雅黑" w:hAnsi="微软雅黑"/>
          <w:sz w:val="28"/>
          <w:szCs w:val="28"/>
        </w:rPr>
        <w:t>）；其中公务用车购置及运行维护费用年初预算</w:t>
      </w:r>
      <w:r>
        <w:rPr>
          <w:rFonts w:hint="eastAsia" w:ascii="微软雅黑" w:hAnsi="微软雅黑" w:cs="宋体"/>
          <w:sz w:val="28"/>
          <w:szCs w:val="28"/>
        </w:rPr>
        <w:t>　0</w:t>
      </w:r>
      <w:r>
        <w:rPr>
          <w:rFonts w:hint="eastAsia" w:ascii="微软雅黑" w:hAnsi="微软雅黑"/>
          <w:sz w:val="28"/>
          <w:szCs w:val="28"/>
        </w:rPr>
        <w:t>万元，支出决算</w:t>
      </w:r>
      <w:r>
        <w:rPr>
          <w:rFonts w:hint="eastAsia" w:ascii="微软雅黑" w:hAnsi="微软雅黑" w:cs="宋体"/>
          <w:sz w:val="28"/>
          <w:szCs w:val="28"/>
        </w:rPr>
        <w:t>　0</w:t>
      </w:r>
      <w:r>
        <w:rPr>
          <w:rFonts w:hint="eastAsia" w:ascii="微软雅黑" w:hAnsi="微软雅黑"/>
          <w:sz w:val="28"/>
          <w:szCs w:val="28"/>
        </w:rPr>
        <w:t>万元，完成年初预算的</w:t>
      </w:r>
      <w:r>
        <w:rPr>
          <w:rFonts w:hint="eastAsia" w:ascii="微软雅黑" w:hAnsi="微软雅黑" w:cs="宋体"/>
          <w:sz w:val="28"/>
          <w:szCs w:val="28"/>
        </w:rPr>
        <w:t>0</w:t>
      </w:r>
      <w:r>
        <w:rPr>
          <w:rFonts w:hint="eastAsia" w:ascii="微软雅黑" w:hAnsi="微软雅黑"/>
          <w:sz w:val="28"/>
          <w:szCs w:val="28"/>
        </w:rPr>
        <w:t>%，比上年增加</w:t>
      </w:r>
      <w:r>
        <w:rPr>
          <w:rFonts w:hint="eastAsia" w:ascii="微软雅黑" w:hAnsi="微软雅黑" w:cs="宋体"/>
          <w:sz w:val="28"/>
          <w:szCs w:val="28"/>
        </w:rPr>
        <w:t>0</w:t>
      </w:r>
      <w:r>
        <w:rPr>
          <w:rFonts w:hint="eastAsia" w:ascii="微软雅黑" w:hAnsi="微软雅黑"/>
          <w:sz w:val="28"/>
          <w:szCs w:val="28"/>
        </w:rPr>
        <w:t>万元，增长</w:t>
      </w:r>
      <w:r>
        <w:rPr>
          <w:rFonts w:hint="eastAsia" w:ascii="微软雅黑" w:hAnsi="微软雅黑" w:cs="宋体"/>
          <w:sz w:val="28"/>
          <w:szCs w:val="28"/>
        </w:rPr>
        <w:t>0</w:t>
      </w:r>
      <w:r>
        <w:rPr>
          <w:rFonts w:hint="eastAsia" w:ascii="微软雅黑" w:hAnsi="微软雅黑"/>
          <w:sz w:val="28"/>
          <w:szCs w:val="28"/>
        </w:rPr>
        <w:t>%（具体：其中公务用车购置费年初预算</w:t>
      </w:r>
      <w:r>
        <w:rPr>
          <w:rFonts w:hint="eastAsia" w:ascii="微软雅黑" w:hAnsi="微软雅黑" w:cs="宋体"/>
          <w:sz w:val="28"/>
          <w:szCs w:val="28"/>
        </w:rPr>
        <w:t>　0</w:t>
      </w:r>
      <w:r>
        <w:rPr>
          <w:rFonts w:hint="eastAsia" w:ascii="微软雅黑" w:hAnsi="微软雅黑"/>
          <w:sz w:val="28"/>
          <w:szCs w:val="28"/>
        </w:rPr>
        <w:t>万元，支出决算</w:t>
      </w:r>
      <w:r>
        <w:rPr>
          <w:rFonts w:hint="eastAsia" w:ascii="微软雅黑" w:hAnsi="微软雅黑" w:cs="宋体"/>
          <w:sz w:val="28"/>
          <w:szCs w:val="28"/>
        </w:rPr>
        <w:t>　0</w:t>
      </w:r>
      <w:r>
        <w:rPr>
          <w:rFonts w:hint="eastAsia" w:ascii="微软雅黑" w:hAnsi="微软雅黑"/>
          <w:sz w:val="28"/>
          <w:szCs w:val="28"/>
        </w:rPr>
        <w:t>万元，完成年初预算的</w:t>
      </w:r>
      <w:r>
        <w:rPr>
          <w:rFonts w:hint="eastAsia" w:ascii="微软雅黑" w:hAnsi="微软雅黑" w:cs="宋体"/>
          <w:sz w:val="28"/>
          <w:szCs w:val="28"/>
        </w:rPr>
        <w:t>0</w:t>
      </w:r>
      <w:r>
        <w:rPr>
          <w:rFonts w:hint="eastAsia" w:ascii="微软雅黑" w:hAnsi="微软雅黑"/>
          <w:sz w:val="28"/>
          <w:szCs w:val="28"/>
        </w:rPr>
        <w:t>%，比上年增加</w:t>
      </w:r>
      <w:r>
        <w:rPr>
          <w:rFonts w:hint="eastAsia" w:ascii="微软雅黑" w:hAnsi="微软雅黑" w:cs="宋体"/>
          <w:sz w:val="28"/>
          <w:szCs w:val="28"/>
        </w:rPr>
        <w:t>0</w:t>
      </w:r>
      <w:r>
        <w:rPr>
          <w:rFonts w:hint="eastAsia" w:ascii="微软雅黑" w:hAnsi="微软雅黑"/>
          <w:sz w:val="28"/>
          <w:szCs w:val="28"/>
        </w:rPr>
        <w:t>万元，增长</w:t>
      </w:r>
      <w:r>
        <w:rPr>
          <w:rFonts w:hint="eastAsia" w:ascii="微软雅黑" w:hAnsi="微软雅黑" w:cs="宋体"/>
          <w:sz w:val="28"/>
          <w:szCs w:val="28"/>
        </w:rPr>
        <w:t>0</w:t>
      </w:r>
      <w:r>
        <w:rPr>
          <w:rFonts w:hint="eastAsia" w:ascii="微软雅黑" w:hAnsi="微软雅黑"/>
          <w:sz w:val="28"/>
          <w:szCs w:val="28"/>
        </w:rPr>
        <w:t>%，原因是本年度未安排；公务用车运行维护费年初预算</w:t>
      </w:r>
      <w:r>
        <w:rPr>
          <w:rFonts w:hint="eastAsia" w:ascii="微软雅黑" w:hAnsi="微软雅黑" w:cs="宋体"/>
          <w:sz w:val="28"/>
          <w:szCs w:val="28"/>
        </w:rPr>
        <w:t>　0</w:t>
      </w:r>
      <w:r>
        <w:rPr>
          <w:rFonts w:hint="eastAsia" w:ascii="微软雅黑" w:hAnsi="微软雅黑"/>
          <w:sz w:val="28"/>
          <w:szCs w:val="28"/>
        </w:rPr>
        <w:t>万元，支出决算</w:t>
      </w:r>
      <w:r>
        <w:rPr>
          <w:rFonts w:hint="eastAsia" w:ascii="微软雅黑" w:hAnsi="微软雅黑" w:cs="宋体"/>
          <w:sz w:val="28"/>
          <w:szCs w:val="28"/>
        </w:rPr>
        <w:t>　0</w:t>
      </w:r>
      <w:r>
        <w:rPr>
          <w:rFonts w:hint="eastAsia" w:ascii="微软雅黑" w:hAnsi="微软雅黑"/>
          <w:sz w:val="28"/>
          <w:szCs w:val="28"/>
        </w:rPr>
        <w:t>万元，完成年初预算的</w:t>
      </w:r>
      <w:r>
        <w:rPr>
          <w:rFonts w:hint="eastAsia" w:ascii="微软雅黑" w:hAnsi="微软雅黑" w:cs="宋体"/>
          <w:sz w:val="28"/>
          <w:szCs w:val="28"/>
        </w:rPr>
        <w:t>0</w:t>
      </w:r>
      <w:r>
        <w:rPr>
          <w:rFonts w:hint="eastAsia" w:ascii="微软雅黑" w:hAnsi="微软雅黑"/>
          <w:sz w:val="28"/>
          <w:szCs w:val="28"/>
        </w:rPr>
        <w:t>%，比上年增加</w:t>
      </w:r>
      <w:r>
        <w:rPr>
          <w:rFonts w:hint="eastAsia" w:ascii="微软雅黑" w:hAnsi="微软雅黑" w:cs="宋体"/>
          <w:sz w:val="28"/>
          <w:szCs w:val="28"/>
        </w:rPr>
        <w:t>0</w:t>
      </w:r>
      <w:r>
        <w:rPr>
          <w:rFonts w:hint="eastAsia" w:ascii="微软雅黑" w:hAnsi="微软雅黑"/>
          <w:sz w:val="28"/>
          <w:szCs w:val="28"/>
        </w:rPr>
        <w:t>万元，增长</w:t>
      </w:r>
      <w:r>
        <w:rPr>
          <w:rFonts w:hint="eastAsia" w:ascii="微软雅黑" w:hAnsi="微软雅黑" w:cs="宋体"/>
          <w:sz w:val="28"/>
          <w:szCs w:val="28"/>
        </w:rPr>
        <w:t>0</w:t>
      </w:r>
      <w:r>
        <w:rPr>
          <w:rFonts w:hint="eastAsia" w:ascii="微软雅黑" w:hAnsi="微软雅黑"/>
          <w:sz w:val="28"/>
          <w:szCs w:val="28"/>
        </w:rPr>
        <w:t>%，原因是本年度未安排）；公务接待费年初预算</w:t>
      </w:r>
      <w:r>
        <w:rPr>
          <w:rFonts w:hint="eastAsia" w:ascii="微软雅黑" w:hAnsi="微软雅黑" w:cs="宋体"/>
          <w:sz w:val="28"/>
          <w:szCs w:val="28"/>
        </w:rPr>
        <w:t>　0</w:t>
      </w:r>
      <w:r>
        <w:rPr>
          <w:rFonts w:hint="eastAsia" w:ascii="微软雅黑" w:hAnsi="微软雅黑"/>
          <w:sz w:val="28"/>
          <w:szCs w:val="28"/>
        </w:rPr>
        <w:t>万元，支出决算</w:t>
      </w:r>
      <w:r>
        <w:rPr>
          <w:rFonts w:hint="eastAsia" w:ascii="微软雅黑" w:hAnsi="微软雅黑" w:cs="宋体"/>
          <w:sz w:val="28"/>
          <w:szCs w:val="28"/>
        </w:rPr>
        <w:t>　0</w:t>
      </w:r>
      <w:r>
        <w:rPr>
          <w:rFonts w:hint="eastAsia" w:ascii="微软雅黑" w:hAnsi="微软雅黑"/>
          <w:sz w:val="28"/>
          <w:szCs w:val="28"/>
        </w:rPr>
        <w:t>万元，完成年初预算的</w:t>
      </w:r>
      <w:r>
        <w:rPr>
          <w:rFonts w:hint="eastAsia" w:ascii="微软雅黑" w:hAnsi="微软雅黑" w:cs="宋体"/>
          <w:sz w:val="28"/>
          <w:szCs w:val="28"/>
        </w:rPr>
        <w:t>0</w:t>
      </w:r>
      <w:r>
        <w:rPr>
          <w:rFonts w:hint="eastAsia" w:ascii="微软雅黑" w:hAnsi="微软雅黑"/>
          <w:sz w:val="28"/>
          <w:szCs w:val="28"/>
        </w:rPr>
        <w:t>%，比上年增加</w:t>
      </w:r>
      <w:r>
        <w:rPr>
          <w:rFonts w:hint="eastAsia" w:ascii="微软雅黑" w:hAnsi="微软雅黑" w:cs="宋体"/>
          <w:sz w:val="28"/>
          <w:szCs w:val="28"/>
        </w:rPr>
        <w:t>0</w:t>
      </w:r>
      <w:r>
        <w:rPr>
          <w:rFonts w:hint="eastAsia" w:ascii="微软雅黑" w:hAnsi="微软雅黑"/>
          <w:sz w:val="28"/>
          <w:szCs w:val="28"/>
        </w:rPr>
        <w:t>万元，增长</w:t>
      </w:r>
      <w:r>
        <w:rPr>
          <w:rFonts w:hint="eastAsia" w:ascii="微软雅黑" w:hAnsi="微软雅黑" w:cs="宋体"/>
          <w:sz w:val="28"/>
          <w:szCs w:val="28"/>
        </w:rPr>
        <w:t>0</w:t>
      </w:r>
      <w:r>
        <w:rPr>
          <w:rFonts w:hint="eastAsia" w:ascii="微软雅黑" w:hAnsi="微软雅黑"/>
          <w:sz w:val="28"/>
          <w:szCs w:val="28"/>
        </w:rPr>
        <w:t>%，原因是本年度未安排（全年</w:t>
      </w:r>
      <w:r>
        <w:rPr>
          <w:rFonts w:ascii="微软雅黑" w:hAnsi="微软雅黑"/>
          <w:sz w:val="28"/>
          <w:szCs w:val="28"/>
        </w:rPr>
        <w:t>未使用一般公共预算拨款开支的国内公务接待</w:t>
      </w:r>
      <w:r>
        <w:rPr>
          <w:rFonts w:hint="eastAsia" w:ascii="微软雅黑" w:hAnsi="微软雅黑"/>
          <w:sz w:val="28"/>
          <w:szCs w:val="28"/>
        </w:rPr>
        <w:t>0</w:t>
      </w:r>
      <w:r>
        <w:rPr>
          <w:rFonts w:ascii="微软雅黑" w:hAnsi="微软雅黑"/>
          <w:sz w:val="28"/>
          <w:szCs w:val="28"/>
        </w:rPr>
        <w:t>批次，</w:t>
      </w:r>
      <w:r>
        <w:rPr>
          <w:rFonts w:hint="eastAsia" w:ascii="微软雅黑" w:hAnsi="微软雅黑"/>
          <w:sz w:val="28"/>
          <w:szCs w:val="28"/>
        </w:rPr>
        <w:t>0</w:t>
      </w:r>
      <w:r>
        <w:rPr>
          <w:rFonts w:ascii="微软雅黑" w:hAnsi="微软雅黑"/>
          <w:sz w:val="28"/>
          <w:szCs w:val="28"/>
        </w:rPr>
        <w:t>人次</w:t>
      </w:r>
      <w:r>
        <w:rPr>
          <w:rFonts w:hint="eastAsia" w:ascii="微软雅黑" w:hAnsi="微软雅黑"/>
          <w:sz w:val="28"/>
          <w:szCs w:val="28"/>
        </w:rPr>
        <w:t>。）</w:t>
      </w:r>
    </w:p>
    <w:p>
      <w:pPr>
        <w:spacing w:line="220" w:lineRule="atLeast"/>
        <w:ind w:firstLine="560" w:firstLineChars="200"/>
        <w:rPr>
          <w:b/>
          <w:sz w:val="28"/>
          <w:szCs w:val="28"/>
        </w:rPr>
      </w:pPr>
      <w:r>
        <w:rPr>
          <w:rFonts w:hint="eastAsia"/>
          <w:b/>
          <w:sz w:val="28"/>
          <w:szCs w:val="28"/>
        </w:rPr>
        <w:t>八、其他重要事项情况说明</w:t>
      </w:r>
    </w:p>
    <w:p>
      <w:pPr>
        <w:spacing w:line="220" w:lineRule="atLeast"/>
        <w:ind w:firstLine="560" w:firstLineChars="200"/>
        <w:rPr>
          <w:b/>
          <w:sz w:val="28"/>
          <w:szCs w:val="28"/>
        </w:rPr>
      </w:pPr>
      <w:r>
        <w:rPr>
          <w:rFonts w:hint="eastAsia"/>
          <w:b/>
          <w:sz w:val="28"/>
          <w:szCs w:val="28"/>
        </w:rPr>
        <w:t>（一）机关运行经费支出情况说明</w:t>
      </w:r>
    </w:p>
    <w:p>
      <w:pPr>
        <w:spacing w:line="220" w:lineRule="atLeast"/>
        <w:ind w:firstLine="560" w:firstLineChars="200"/>
        <w:rPr>
          <w:sz w:val="28"/>
          <w:szCs w:val="28"/>
        </w:rPr>
      </w:pPr>
      <w:r>
        <w:rPr>
          <w:rFonts w:hint="eastAsia"/>
          <w:sz w:val="28"/>
          <w:szCs w:val="28"/>
        </w:rPr>
        <w:t>本单位无机关运行经费。</w:t>
      </w:r>
    </w:p>
    <w:p>
      <w:pPr>
        <w:spacing w:line="220" w:lineRule="atLeast"/>
        <w:ind w:firstLine="560" w:firstLineChars="200"/>
        <w:rPr>
          <w:b/>
          <w:sz w:val="28"/>
          <w:szCs w:val="28"/>
        </w:rPr>
      </w:pPr>
      <w:r>
        <w:rPr>
          <w:rFonts w:hint="eastAsia"/>
          <w:b/>
          <w:sz w:val="28"/>
          <w:szCs w:val="28"/>
        </w:rPr>
        <w:t>（二）政府采购情况说明</w:t>
      </w:r>
    </w:p>
    <w:p>
      <w:pPr>
        <w:spacing w:line="220" w:lineRule="atLeast"/>
        <w:ind w:firstLine="560" w:firstLineChars="200"/>
        <w:rPr>
          <w:sz w:val="28"/>
          <w:szCs w:val="28"/>
        </w:rPr>
      </w:pPr>
      <w:r>
        <w:rPr>
          <w:rFonts w:hint="eastAsia"/>
          <w:sz w:val="28"/>
          <w:szCs w:val="28"/>
        </w:rPr>
        <w:t>2021年度政府采购支出总额3.03万元，其中：政府采购货物支出3.03万元、政府采购工程支出0万元、政府采购服务支出0万元。政府采购授予中小企业合同金额3.03万元，占政府采购支出总额的100%。其中：授予小微企业合同金额3.03万元，占政府采购支出总额的100%.</w:t>
      </w:r>
    </w:p>
    <w:p>
      <w:pPr>
        <w:spacing w:line="220" w:lineRule="atLeast"/>
        <w:ind w:firstLine="560" w:firstLineChars="200"/>
        <w:rPr>
          <w:b/>
          <w:sz w:val="28"/>
          <w:szCs w:val="28"/>
        </w:rPr>
      </w:pPr>
      <w:r>
        <w:rPr>
          <w:rFonts w:hint="eastAsia"/>
          <w:b/>
          <w:sz w:val="28"/>
          <w:szCs w:val="28"/>
        </w:rPr>
        <w:t>（三）国有资产占用情况说明</w:t>
      </w:r>
    </w:p>
    <w:p>
      <w:pPr>
        <w:spacing w:line="220" w:lineRule="atLeast"/>
        <w:ind w:firstLine="560" w:firstLineChars="200"/>
        <w:rPr>
          <w:sz w:val="28"/>
          <w:szCs w:val="28"/>
        </w:rPr>
      </w:pPr>
      <w:r>
        <w:rPr>
          <w:rFonts w:hint="eastAsia"/>
          <w:sz w:val="28"/>
          <w:szCs w:val="28"/>
        </w:rPr>
        <w:t>（1）房屋情况</w:t>
      </w:r>
    </w:p>
    <w:p>
      <w:pPr>
        <w:ind w:firstLine="636"/>
        <w:rPr>
          <w:sz w:val="28"/>
          <w:szCs w:val="28"/>
        </w:rPr>
      </w:pPr>
      <w:r>
        <w:rPr>
          <w:rFonts w:hint="eastAsia"/>
          <w:sz w:val="28"/>
          <w:szCs w:val="28"/>
        </w:rPr>
        <w:t>截至2021年12月31日，本单位共有房屋3785.18平方米，价值为304.4</w:t>
      </w:r>
      <w:r>
        <w:rPr>
          <w:rFonts w:hint="eastAsia"/>
          <w:sz w:val="28"/>
          <w:szCs w:val="28"/>
          <w:lang w:val="en-US" w:eastAsia="zh-CN"/>
        </w:rPr>
        <w:t>8</w:t>
      </w:r>
      <w:r>
        <w:rPr>
          <w:rFonts w:hint="eastAsia"/>
          <w:sz w:val="28"/>
          <w:szCs w:val="28"/>
        </w:rPr>
        <w:t>万元，其中办公用房420平方米，价值为10.43万元；业务用房1298平方米，价值为179.11万元；其他（不含构筑物）2067.18平方米，价值为114.93万元。</w:t>
      </w:r>
    </w:p>
    <w:p>
      <w:pPr>
        <w:spacing w:line="220" w:lineRule="atLeast"/>
        <w:ind w:firstLine="560" w:firstLineChars="200"/>
        <w:rPr>
          <w:sz w:val="28"/>
          <w:szCs w:val="28"/>
        </w:rPr>
      </w:pPr>
      <w:r>
        <w:rPr>
          <w:rFonts w:hint="eastAsia"/>
          <w:sz w:val="28"/>
          <w:szCs w:val="28"/>
        </w:rPr>
        <w:t>（2）车辆及设备情况</w:t>
      </w:r>
    </w:p>
    <w:p>
      <w:pPr>
        <w:spacing w:line="220" w:lineRule="atLeast"/>
        <w:ind w:firstLine="560" w:firstLineChars="200"/>
        <w:rPr>
          <w:sz w:val="28"/>
          <w:szCs w:val="28"/>
        </w:rPr>
      </w:pPr>
      <w:r>
        <w:rPr>
          <w:rFonts w:hint="eastAsia"/>
          <w:sz w:val="28"/>
          <w:szCs w:val="28"/>
        </w:rPr>
        <w:t>截至2021年12月31日，本单位共有车辆2辆。其中，副部（省）级及以上领导用车0辆、主要领导干部用车0辆、机要通信用车0辆、应急保障用车0辆、执法执勤用车0辆、特种专业技术用车0辆、离退休干部用车0辆、其他用车2辆，其他用车主要是救护车；单价50万元（含）以上的通用设备0台（套），单价100万元（含）以上专用设备0台（套）。</w:t>
      </w:r>
    </w:p>
    <w:p>
      <w:pPr>
        <w:spacing w:line="220" w:lineRule="atLeast"/>
        <w:ind w:firstLine="560" w:firstLineChars="200"/>
        <w:rPr>
          <w:b/>
          <w:sz w:val="28"/>
          <w:szCs w:val="28"/>
        </w:rPr>
      </w:pPr>
      <w:r>
        <w:rPr>
          <w:rFonts w:hint="eastAsia"/>
          <w:b/>
          <w:sz w:val="28"/>
          <w:szCs w:val="28"/>
        </w:rPr>
        <w:t>（四）预算绩效情况说明</w:t>
      </w:r>
    </w:p>
    <w:p>
      <w:pPr>
        <w:spacing w:line="220" w:lineRule="atLeast"/>
        <w:ind w:firstLine="560" w:firstLineChars="200"/>
        <w:rPr>
          <w:b/>
          <w:sz w:val="28"/>
          <w:szCs w:val="28"/>
        </w:rPr>
      </w:pPr>
      <w:r>
        <w:rPr>
          <w:rFonts w:hint="eastAsia"/>
          <w:b/>
          <w:sz w:val="28"/>
          <w:szCs w:val="28"/>
        </w:rPr>
        <w:t>（1）预算绩效管理工作开展情况。</w:t>
      </w:r>
    </w:p>
    <w:p>
      <w:pPr>
        <w:spacing w:line="220" w:lineRule="atLeast"/>
        <w:ind w:firstLine="560" w:firstLineChars="200"/>
        <w:rPr>
          <w:sz w:val="28"/>
          <w:szCs w:val="28"/>
        </w:rPr>
      </w:pPr>
      <w:bookmarkStart w:id="0" w:name="_GoBack"/>
      <w:bookmarkEnd w:id="0"/>
      <w:r>
        <w:rPr>
          <w:rFonts w:hint="eastAsia"/>
          <w:sz w:val="28"/>
          <w:szCs w:val="28"/>
        </w:rPr>
        <w:t>根据预算绩效管理要求，我单位组织对2021年度县级财政预算安排的专项资金类5个项目支出全面开展绩效自评，涉及预算资金14.35万元，占一般公共预算项目支出总额的13.57%。组织对2021年度0个政府性基金预算项目支出开展绩效自评，共涉及预算资金0万元，占政府性基金预算项目支出总额的0%。</w:t>
      </w:r>
    </w:p>
    <w:p>
      <w:pPr>
        <w:spacing w:line="220" w:lineRule="atLeast"/>
        <w:ind w:firstLine="560" w:firstLineChars="200"/>
        <w:rPr>
          <w:rFonts w:hint="eastAsia"/>
          <w:sz w:val="28"/>
          <w:szCs w:val="28"/>
        </w:rPr>
      </w:pPr>
      <w:r>
        <w:rPr>
          <w:rFonts w:hint="eastAsia"/>
          <w:sz w:val="28"/>
          <w:szCs w:val="28"/>
        </w:rPr>
        <w:t>组织对“计划生育服务补助”“全县教师、学生结核病筛查”等5个项目开展了单位评价，涉及一般公共预算支出14.35万元，政府性基金预算支出0万元。其中，对“计划生育服务补助”“全县教师、学生结核病筛查”等项目分别未委托第三方机构开展绩效评价。从评价情况来看，未委托第三方机构开展绩效评价。</w:t>
      </w:r>
    </w:p>
    <w:p>
      <w:pPr>
        <w:spacing w:line="220" w:lineRule="atLeast"/>
        <w:ind w:firstLine="560" w:firstLineChars="200"/>
        <w:rPr>
          <w:rFonts w:hint="eastAsia"/>
          <w:sz w:val="28"/>
          <w:szCs w:val="28"/>
        </w:rPr>
      </w:pPr>
      <w:r>
        <w:rPr>
          <w:rFonts w:hint="eastAsia"/>
          <w:sz w:val="28"/>
          <w:szCs w:val="28"/>
        </w:rPr>
        <w:t>组织对“平顺县石城中心卫生院”等1个单位开展整体绩效评价试点，涉及一般公共预算支出0万元，政府性基金预算支出0万元。其中，对平顺县石城中心卫生院”等单位整体绩效评价未委托第三方机构实施。从评价情况来看，未委托第三方机构实。</w:t>
      </w:r>
    </w:p>
    <w:p>
      <w:pPr>
        <w:numPr>
          <w:ilvl w:val="0"/>
          <w:numId w:val="1"/>
        </w:numPr>
        <w:spacing w:line="220" w:lineRule="atLeast"/>
        <w:ind w:firstLine="560" w:firstLineChars="200"/>
        <w:rPr>
          <w:rFonts w:hint="eastAsia"/>
          <w:b/>
          <w:sz w:val="28"/>
          <w:szCs w:val="28"/>
        </w:rPr>
      </w:pPr>
      <w:r>
        <w:rPr>
          <w:rFonts w:hint="eastAsia"/>
          <w:b/>
          <w:sz w:val="28"/>
          <w:szCs w:val="28"/>
        </w:rPr>
        <w:t>部门决算中项目绩效自评结果。</w:t>
      </w:r>
    </w:p>
    <w:p>
      <w:pPr>
        <w:numPr>
          <w:ilvl w:val="0"/>
          <w:numId w:val="0"/>
        </w:numPr>
        <w:spacing w:line="220" w:lineRule="atLeast"/>
        <w:ind w:firstLine="560" w:firstLineChars="200"/>
        <w:rPr>
          <w:rFonts w:hint="eastAsia"/>
          <w:sz w:val="28"/>
          <w:szCs w:val="28"/>
        </w:rPr>
      </w:pPr>
      <w:r>
        <w:rPr>
          <w:rFonts w:hint="eastAsia"/>
          <w:sz w:val="28"/>
          <w:szCs w:val="28"/>
        </w:rPr>
        <w:t>村级计生信息员服务项目绩效自评综述：根据年初设定的绩效目标，项目自评得分为100分。全年预算数为2.63万元，执行数为2.63万元，完成预算的100%。项目绩效目标完成情况：一是本年预算资金按项目进度已全部执行完毕。发现的主要问题及原因：不存在问题。下一步改进措施：一是在项目决策中要按照县政府要求高质量发展，围绕推动高质量发展的任务，着力揭示和反映体制机制制度性问题。；二是年初预算要尽量准确，要结合上年的支出情况对下年的数据进行预算。避免造成预算资金过大，导致年底预算执行率不达标。</w:t>
      </w:r>
    </w:p>
    <w:p>
      <w:pPr>
        <w:spacing w:line="220" w:lineRule="atLeast"/>
        <w:ind w:firstLine="560" w:firstLineChars="200"/>
        <w:rPr>
          <w:sz w:val="28"/>
          <w:szCs w:val="28"/>
        </w:rPr>
      </w:pPr>
      <w:r>
        <w:rPr>
          <w:rFonts w:hint="eastAsia"/>
          <w:sz w:val="28"/>
          <w:szCs w:val="28"/>
        </w:rPr>
        <w:t>基层卫生院药品零利率项目绩效自评综述：根据年初设定的绩效目标，项目自评得分为100分。全年预算数为4万元，执行数为4万元，完成预算的100%。项目绩效目标完成情况：一是本年预算资金按项目进度已全部执行完毕。发现的主要问题及原因：不存在问题。下一步改进措施：一是在项目决策中要按照县政府要求高质量发展，围绕推动高质量发展的任务，着力揭示和反映体制机制制度性问题。；二是年初预算要尽量准确，要结合上年的支出情况对下年的数据进行预算。避免造成预算资金过大，导致年底预算执行率不达标。</w:t>
      </w:r>
    </w:p>
    <w:p>
      <w:pPr>
        <w:spacing w:line="220" w:lineRule="atLeast"/>
        <w:ind w:firstLine="560" w:firstLineChars="200"/>
        <w:rPr>
          <w:sz w:val="28"/>
          <w:szCs w:val="28"/>
        </w:rPr>
      </w:pPr>
      <w:r>
        <w:rPr>
          <w:rFonts w:hint="eastAsia"/>
          <w:sz w:val="28"/>
          <w:szCs w:val="28"/>
        </w:rPr>
        <w:t>全县教师、学生结核病筛查项目绩效自评综述：根据年初设定的绩效目标，项目自评得分为100分。全年预算数为2.22万元，执行数为2.22万元，完成预算的100%。项目绩效目标完成情况：一是本年预算资金按项目进度已全部执行完毕。发现的主要问题及原因：不存在问题。下一步改进措施：一是在项目决策中要按照县政府要求高质量发展，围绕推动高质量发展的任务，着力揭示和反映体制机制制度性问题；二是年初预算要尽量准确，要结合上年的支出情况对下年的数据进行预算。避免造成预算资金过大，导致年底预算执行率不达标。</w:t>
      </w:r>
    </w:p>
    <w:p>
      <w:pPr>
        <w:spacing w:line="220" w:lineRule="atLeast"/>
        <w:ind w:firstLine="560" w:firstLineChars="200"/>
        <w:rPr>
          <w:b/>
          <w:sz w:val="28"/>
          <w:szCs w:val="28"/>
        </w:rPr>
      </w:pPr>
      <w:r>
        <w:rPr>
          <w:rFonts w:hint="eastAsia"/>
          <w:b/>
          <w:sz w:val="28"/>
          <w:szCs w:val="28"/>
        </w:rPr>
        <w:t>（</w:t>
      </w:r>
      <w:r>
        <w:rPr>
          <w:b/>
          <w:sz w:val="28"/>
          <w:szCs w:val="28"/>
        </w:rPr>
        <w:t>3</w:t>
      </w:r>
      <w:r>
        <w:rPr>
          <w:rFonts w:hint="eastAsia"/>
          <w:b/>
          <w:sz w:val="28"/>
          <w:szCs w:val="28"/>
        </w:rPr>
        <w:t>）部门评价项目绩效评价结果。</w:t>
      </w:r>
    </w:p>
    <w:p>
      <w:pPr>
        <w:spacing w:line="220" w:lineRule="atLeast"/>
        <w:ind w:firstLine="560" w:firstLineChars="200"/>
        <w:rPr>
          <w:sz w:val="28"/>
          <w:szCs w:val="28"/>
        </w:rPr>
      </w:pPr>
      <w:r>
        <w:rPr>
          <w:rFonts w:hint="eastAsia"/>
          <w:sz w:val="28"/>
          <w:szCs w:val="28"/>
        </w:rPr>
        <w:t>我单位没有进行部门评价项目绩效评价。</w:t>
      </w:r>
    </w:p>
    <w:p>
      <w:pPr>
        <w:spacing w:line="220" w:lineRule="atLeast"/>
        <w:ind w:firstLine="560" w:firstLineChars="200"/>
        <w:rPr>
          <w:b/>
          <w:sz w:val="28"/>
          <w:szCs w:val="28"/>
        </w:rPr>
      </w:pPr>
      <w:r>
        <w:rPr>
          <w:rFonts w:hint="eastAsia"/>
          <w:b/>
          <w:sz w:val="28"/>
          <w:szCs w:val="28"/>
        </w:rPr>
        <w:t>（五）其他需要说明的事项</w:t>
      </w:r>
    </w:p>
    <w:p>
      <w:pPr>
        <w:ind w:firstLine="643" w:firstLineChars="200"/>
        <w:rPr>
          <w:rFonts w:ascii="微软雅黑" w:hAnsi="微软雅黑" w:cs="宋体"/>
          <w:sz w:val="28"/>
          <w:szCs w:val="28"/>
        </w:rPr>
      </w:pPr>
      <w:r>
        <w:rPr>
          <w:rFonts w:hint="eastAsia" w:ascii="仿宋_GB2312" w:hAnsi="仿宋" w:eastAsia="仿宋_GB2312"/>
          <w:b/>
          <w:sz w:val="32"/>
          <w:szCs w:val="32"/>
        </w:rPr>
        <w:t>1、</w:t>
      </w:r>
      <w:r>
        <w:rPr>
          <w:rFonts w:hint="eastAsia"/>
          <w:b/>
          <w:sz w:val="28"/>
          <w:szCs w:val="28"/>
        </w:rPr>
        <w:t>培训费：</w:t>
      </w:r>
      <w:r>
        <w:rPr>
          <w:rFonts w:hint="eastAsia" w:ascii="微软雅黑" w:hAnsi="微软雅黑"/>
          <w:sz w:val="28"/>
          <w:szCs w:val="28"/>
        </w:rPr>
        <w:t>全</w:t>
      </w:r>
      <w:r>
        <w:rPr>
          <w:rFonts w:ascii="微软雅黑" w:hAnsi="微软雅黑"/>
          <w:sz w:val="28"/>
          <w:szCs w:val="28"/>
        </w:rPr>
        <w:t>年一般公共预算拨款安排的培训费决算</w:t>
      </w:r>
      <w:r>
        <w:rPr>
          <w:rFonts w:hint="eastAsia" w:ascii="微软雅黑" w:hAnsi="微软雅黑"/>
          <w:sz w:val="28"/>
          <w:szCs w:val="28"/>
        </w:rPr>
        <w:t>年初预算0万元，支出决算</w:t>
      </w:r>
      <w:r>
        <w:rPr>
          <w:rFonts w:hint="eastAsia" w:ascii="微软雅黑" w:hAnsi="微软雅黑" w:cs="宋体"/>
          <w:sz w:val="28"/>
          <w:szCs w:val="28"/>
        </w:rPr>
        <w:t>0</w:t>
      </w:r>
      <w:r>
        <w:rPr>
          <w:rFonts w:hint="eastAsia" w:ascii="微软雅黑" w:hAnsi="微软雅黑"/>
          <w:sz w:val="28"/>
          <w:szCs w:val="28"/>
        </w:rPr>
        <w:t>万元，完成年初预算的0%，比上年增加</w:t>
      </w:r>
      <w:r>
        <w:rPr>
          <w:rFonts w:hint="eastAsia" w:ascii="微软雅黑" w:hAnsi="微软雅黑" w:cs="宋体"/>
          <w:sz w:val="28"/>
          <w:szCs w:val="28"/>
        </w:rPr>
        <w:t>0</w:t>
      </w:r>
      <w:r>
        <w:rPr>
          <w:rFonts w:hint="eastAsia" w:ascii="微软雅黑" w:hAnsi="微软雅黑"/>
          <w:sz w:val="28"/>
          <w:szCs w:val="28"/>
        </w:rPr>
        <w:t>万元，增长</w:t>
      </w:r>
      <w:r>
        <w:rPr>
          <w:rFonts w:hint="eastAsia" w:ascii="微软雅黑" w:hAnsi="微软雅黑" w:cs="宋体"/>
          <w:sz w:val="28"/>
          <w:szCs w:val="28"/>
        </w:rPr>
        <w:t>0</w:t>
      </w:r>
      <w:r>
        <w:rPr>
          <w:rFonts w:hint="eastAsia" w:ascii="微软雅黑" w:hAnsi="微软雅黑"/>
          <w:sz w:val="28"/>
          <w:szCs w:val="28"/>
        </w:rPr>
        <w:t>%，原因是本年度未安排</w:t>
      </w:r>
      <w:r>
        <w:rPr>
          <w:rFonts w:ascii="微软雅黑" w:hAnsi="微软雅黑"/>
          <w:sz w:val="28"/>
          <w:szCs w:val="28"/>
        </w:rPr>
        <w:t>。20</w:t>
      </w:r>
      <w:r>
        <w:rPr>
          <w:rFonts w:hint="eastAsia" w:ascii="微软雅黑" w:hAnsi="微软雅黑"/>
          <w:sz w:val="28"/>
          <w:szCs w:val="28"/>
        </w:rPr>
        <w:t>21</w:t>
      </w:r>
      <w:r>
        <w:rPr>
          <w:rFonts w:ascii="微软雅黑" w:hAnsi="微软雅黑"/>
          <w:sz w:val="28"/>
          <w:szCs w:val="28"/>
        </w:rPr>
        <w:t>年度全年组织培训</w:t>
      </w:r>
      <w:r>
        <w:rPr>
          <w:rFonts w:hint="eastAsia" w:ascii="微软雅黑" w:hAnsi="微软雅黑"/>
          <w:sz w:val="28"/>
          <w:szCs w:val="28"/>
        </w:rPr>
        <w:t>0</w:t>
      </w:r>
      <w:r>
        <w:rPr>
          <w:rFonts w:ascii="微软雅黑" w:hAnsi="微软雅黑"/>
          <w:sz w:val="28"/>
          <w:szCs w:val="28"/>
        </w:rPr>
        <w:t>个，组织培训</w:t>
      </w:r>
      <w:r>
        <w:rPr>
          <w:rFonts w:hint="eastAsia" w:ascii="微软雅黑" w:hAnsi="微软雅黑"/>
          <w:sz w:val="28"/>
          <w:szCs w:val="28"/>
        </w:rPr>
        <w:t>0</w:t>
      </w:r>
      <w:r>
        <w:rPr>
          <w:rFonts w:ascii="微软雅黑" w:hAnsi="微软雅黑"/>
          <w:sz w:val="28"/>
          <w:szCs w:val="28"/>
        </w:rPr>
        <w:t>人次。主要为培训</w:t>
      </w:r>
      <w:r>
        <w:rPr>
          <w:rFonts w:hint="eastAsia" w:ascii="微软雅黑" w:hAnsi="微软雅黑"/>
          <w:sz w:val="28"/>
          <w:szCs w:val="28"/>
        </w:rPr>
        <w:t>本年度未安排</w:t>
      </w:r>
      <w:r>
        <w:rPr>
          <w:rFonts w:ascii="微软雅黑" w:hAnsi="微软雅黑"/>
          <w:sz w:val="28"/>
          <w:szCs w:val="28"/>
        </w:rPr>
        <w:t>。</w:t>
      </w:r>
    </w:p>
    <w:tbl>
      <w:tblPr>
        <w:tblStyle w:val="4"/>
        <w:tblW w:w="8664" w:type="dxa"/>
        <w:tblInd w:w="91" w:type="dxa"/>
        <w:tblLayout w:type="autofit"/>
        <w:tblCellMar>
          <w:top w:w="0" w:type="dxa"/>
          <w:left w:w="108" w:type="dxa"/>
          <w:bottom w:w="0" w:type="dxa"/>
          <w:right w:w="108" w:type="dxa"/>
        </w:tblCellMar>
      </w:tblPr>
      <w:tblGrid>
        <w:gridCol w:w="726"/>
        <w:gridCol w:w="1559"/>
        <w:gridCol w:w="1418"/>
        <w:gridCol w:w="1417"/>
        <w:gridCol w:w="1418"/>
        <w:gridCol w:w="1134"/>
        <w:gridCol w:w="992"/>
      </w:tblGrid>
      <w:tr>
        <w:tblPrEx>
          <w:tblCellMar>
            <w:top w:w="0" w:type="dxa"/>
            <w:left w:w="108" w:type="dxa"/>
            <w:bottom w:w="0" w:type="dxa"/>
            <w:right w:w="108" w:type="dxa"/>
          </w:tblCellMar>
        </w:tblPrEx>
        <w:trPr>
          <w:trHeight w:val="510" w:hRule="atLeast"/>
        </w:trPr>
        <w:tc>
          <w:tcPr>
            <w:tcW w:w="726"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培训费</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预算数（万元）</w:t>
            </w:r>
          </w:p>
        </w:tc>
        <w:tc>
          <w:tcPr>
            <w:tcW w:w="283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决算数（万元）</w:t>
            </w:r>
          </w:p>
        </w:tc>
        <w:tc>
          <w:tcPr>
            <w:tcW w:w="1418" w:type="dxa"/>
            <w:tcBorders>
              <w:top w:val="single" w:color="auto" w:sz="4" w:space="0"/>
              <w:left w:val="nil"/>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比上年增加（万元）</w:t>
            </w:r>
          </w:p>
        </w:tc>
        <w:tc>
          <w:tcPr>
            <w:tcW w:w="1134" w:type="dxa"/>
            <w:vMerge w:val="restart"/>
            <w:tcBorders>
              <w:top w:val="single" w:color="auto" w:sz="4" w:space="0"/>
              <w:left w:val="nil"/>
              <w:right w:val="single" w:color="auto" w:sz="4" w:space="0"/>
            </w:tcBorders>
            <w:vAlign w:val="center"/>
          </w:tcPr>
          <w:p>
            <w:pPr>
              <w:jc w:val="center"/>
              <w:rPr>
                <w:rFonts w:ascii="宋体" w:hAnsi="宋体" w:cs="宋体"/>
                <w:b/>
                <w:bCs/>
              </w:rPr>
            </w:pPr>
            <w:r>
              <w:rPr>
                <w:rFonts w:hint="eastAsia" w:ascii="宋体" w:hAnsi="宋体" w:cs="宋体"/>
                <w:b/>
                <w:bCs/>
              </w:rPr>
              <w:t>完成年初预算比例%</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比上年增加比例%</w:t>
            </w:r>
          </w:p>
        </w:tc>
      </w:tr>
      <w:tr>
        <w:tblPrEx>
          <w:tblCellMar>
            <w:top w:w="0" w:type="dxa"/>
            <w:left w:w="108" w:type="dxa"/>
            <w:bottom w:w="0" w:type="dxa"/>
            <w:right w:w="108" w:type="dxa"/>
          </w:tblCellMar>
        </w:tblPrEx>
        <w:trPr>
          <w:trHeight w:val="292" w:hRule="atLeast"/>
        </w:trPr>
        <w:tc>
          <w:tcPr>
            <w:tcW w:w="7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2021</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2021</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2021-2020</w:t>
            </w:r>
          </w:p>
        </w:tc>
        <w:tc>
          <w:tcPr>
            <w:tcW w:w="1134" w:type="dxa"/>
            <w:vMerge w:val="continue"/>
            <w:tcBorders>
              <w:left w:val="single" w:color="auto" w:sz="4" w:space="0"/>
              <w:bottom w:val="single" w:color="auto" w:sz="4" w:space="0"/>
              <w:right w:val="single" w:color="auto" w:sz="4" w:space="0"/>
            </w:tcBorders>
            <w:vAlign w:val="center"/>
          </w:tcPr>
          <w:p>
            <w:pPr>
              <w:jc w:val="center"/>
              <w:rPr>
                <w:rFonts w:ascii="宋体" w:hAnsi="宋体" w:cs="宋体"/>
                <w:b/>
                <w:bCs/>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p>
        </w:tc>
      </w:tr>
      <w:tr>
        <w:tblPrEx>
          <w:tblCellMar>
            <w:top w:w="0" w:type="dxa"/>
            <w:left w:w="108" w:type="dxa"/>
            <w:bottom w:w="0" w:type="dxa"/>
            <w:right w:w="108" w:type="dxa"/>
          </w:tblCellMar>
        </w:tblPrEx>
        <w:trPr>
          <w:trHeight w:val="540" w:hRule="atLeast"/>
        </w:trPr>
        <w:tc>
          <w:tcPr>
            <w:tcW w:w="726" w:type="dxa"/>
            <w:tcBorders>
              <w:top w:val="nil"/>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合计</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r>
    </w:tbl>
    <w:p>
      <w:pPr>
        <w:rPr>
          <w:rFonts w:ascii="仿宋_GB2312" w:hAnsi="楷体" w:eastAsia="仿宋_GB2312"/>
          <w:b/>
          <w:sz w:val="32"/>
          <w:szCs w:val="32"/>
        </w:rPr>
      </w:pPr>
    </w:p>
    <w:p>
      <w:pPr>
        <w:ind w:firstLine="560" w:firstLineChars="200"/>
        <w:rPr>
          <w:rFonts w:ascii="微软雅黑" w:hAnsi="微软雅黑" w:cs="宋体"/>
          <w:sz w:val="28"/>
          <w:szCs w:val="28"/>
        </w:rPr>
      </w:pPr>
      <w:r>
        <w:rPr>
          <w:rFonts w:hint="eastAsia" w:ascii="微软雅黑" w:hAnsi="微软雅黑"/>
          <w:b/>
          <w:sz w:val="28"/>
          <w:szCs w:val="28"/>
        </w:rPr>
        <w:t>2、会议费：</w:t>
      </w:r>
      <w:r>
        <w:rPr>
          <w:rFonts w:hint="eastAsia" w:ascii="微软雅黑" w:hAnsi="微软雅黑"/>
          <w:sz w:val="28"/>
          <w:szCs w:val="28"/>
        </w:rPr>
        <w:t>全年</w:t>
      </w:r>
      <w:r>
        <w:rPr>
          <w:rFonts w:ascii="微软雅黑" w:hAnsi="微软雅黑"/>
          <w:sz w:val="28"/>
          <w:szCs w:val="28"/>
        </w:rPr>
        <w:t>一般公共预算拨款安排的会议费</w:t>
      </w:r>
      <w:r>
        <w:rPr>
          <w:rFonts w:hint="eastAsia" w:ascii="微软雅黑" w:hAnsi="微软雅黑"/>
          <w:sz w:val="28"/>
          <w:szCs w:val="28"/>
        </w:rPr>
        <w:t>年初预算0万元，支出决算</w:t>
      </w:r>
      <w:r>
        <w:rPr>
          <w:rFonts w:hint="eastAsia" w:ascii="微软雅黑" w:hAnsi="微软雅黑" w:cs="宋体"/>
          <w:sz w:val="28"/>
          <w:szCs w:val="28"/>
        </w:rPr>
        <w:t>0</w:t>
      </w:r>
      <w:r>
        <w:rPr>
          <w:rFonts w:hint="eastAsia" w:ascii="微软雅黑" w:hAnsi="微软雅黑"/>
          <w:sz w:val="28"/>
          <w:szCs w:val="28"/>
        </w:rPr>
        <w:t>万元，完成年初预算的0%，比上年增加</w:t>
      </w:r>
      <w:r>
        <w:rPr>
          <w:rFonts w:hint="eastAsia" w:ascii="微软雅黑" w:hAnsi="微软雅黑" w:cs="宋体"/>
          <w:sz w:val="28"/>
          <w:szCs w:val="28"/>
        </w:rPr>
        <w:t>0</w:t>
      </w:r>
      <w:r>
        <w:rPr>
          <w:rFonts w:hint="eastAsia" w:ascii="微软雅黑" w:hAnsi="微软雅黑"/>
          <w:sz w:val="28"/>
          <w:szCs w:val="28"/>
        </w:rPr>
        <w:t>万元，增长</w:t>
      </w:r>
      <w:r>
        <w:rPr>
          <w:rFonts w:hint="eastAsia" w:ascii="微软雅黑" w:hAnsi="微软雅黑" w:cs="宋体"/>
          <w:sz w:val="28"/>
          <w:szCs w:val="28"/>
        </w:rPr>
        <w:t>0</w:t>
      </w:r>
      <w:r>
        <w:rPr>
          <w:rFonts w:hint="eastAsia" w:ascii="微软雅黑" w:hAnsi="微软雅黑"/>
          <w:sz w:val="28"/>
          <w:szCs w:val="28"/>
        </w:rPr>
        <w:t>%，原因是本年度未安排</w:t>
      </w:r>
      <w:r>
        <w:rPr>
          <w:rFonts w:ascii="微软雅黑" w:hAnsi="微软雅黑"/>
          <w:sz w:val="28"/>
          <w:szCs w:val="28"/>
        </w:rPr>
        <w:t>。20</w:t>
      </w:r>
      <w:r>
        <w:rPr>
          <w:rFonts w:hint="eastAsia" w:ascii="微软雅黑" w:hAnsi="微软雅黑"/>
          <w:sz w:val="28"/>
          <w:szCs w:val="28"/>
        </w:rPr>
        <w:t>21</w:t>
      </w:r>
      <w:r>
        <w:rPr>
          <w:rFonts w:ascii="微软雅黑" w:hAnsi="微软雅黑"/>
          <w:sz w:val="28"/>
          <w:szCs w:val="28"/>
        </w:rPr>
        <w:t>年度全年召开会议</w:t>
      </w:r>
      <w:r>
        <w:rPr>
          <w:rFonts w:hint="eastAsia" w:ascii="微软雅黑" w:hAnsi="微软雅黑"/>
          <w:sz w:val="28"/>
          <w:szCs w:val="28"/>
        </w:rPr>
        <w:t>0</w:t>
      </w:r>
      <w:r>
        <w:rPr>
          <w:rFonts w:ascii="微软雅黑" w:hAnsi="微软雅黑"/>
          <w:sz w:val="28"/>
          <w:szCs w:val="28"/>
        </w:rPr>
        <w:t>个，参加会议</w:t>
      </w:r>
      <w:r>
        <w:rPr>
          <w:rFonts w:hint="eastAsia" w:ascii="微软雅黑" w:hAnsi="微软雅黑"/>
          <w:sz w:val="28"/>
          <w:szCs w:val="28"/>
        </w:rPr>
        <w:t>0</w:t>
      </w:r>
      <w:r>
        <w:rPr>
          <w:rFonts w:ascii="微软雅黑" w:hAnsi="微软雅黑"/>
          <w:sz w:val="28"/>
          <w:szCs w:val="28"/>
        </w:rPr>
        <w:t>人次。主要为召开</w:t>
      </w:r>
      <w:r>
        <w:rPr>
          <w:rFonts w:hint="eastAsia" w:ascii="微软雅黑" w:hAnsi="微软雅黑"/>
          <w:sz w:val="28"/>
          <w:szCs w:val="28"/>
        </w:rPr>
        <w:t>本年度未安排</w:t>
      </w:r>
      <w:r>
        <w:rPr>
          <w:rFonts w:ascii="微软雅黑" w:hAnsi="微软雅黑"/>
          <w:sz w:val="28"/>
          <w:szCs w:val="28"/>
        </w:rPr>
        <w:t>。</w:t>
      </w:r>
    </w:p>
    <w:tbl>
      <w:tblPr>
        <w:tblStyle w:val="4"/>
        <w:tblW w:w="8664" w:type="dxa"/>
        <w:tblInd w:w="91" w:type="dxa"/>
        <w:tblLayout w:type="autofit"/>
        <w:tblCellMar>
          <w:top w:w="0" w:type="dxa"/>
          <w:left w:w="108" w:type="dxa"/>
          <w:bottom w:w="0" w:type="dxa"/>
          <w:right w:w="108" w:type="dxa"/>
        </w:tblCellMar>
      </w:tblPr>
      <w:tblGrid>
        <w:gridCol w:w="726"/>
        <w:gridCol w:w="1559"/>
        <w:gridCol w:w="1418"/>
        <w:gridCol w:w="1417"/>
        <w:gridCol w:w="1418"/>
        <w:gridCol w:w="1134"/>
        <w:gridCol w:w="992"/>
      </w:tblGrid>
      <w:tr>
        <w:tblPrEx>
          <w:tblCellMar>
            <w:top w:w="0" w:type="dxa"/>
            <w:left w:w="108" w:type="dxa"/>
            <w:bottom w:w="0" w:type="dxa"/>
            <w:right w:w="108" w:type="dxa"/>
          </w:tblCellMar>
        </w:tblPrEx>
        <w:trPr>
          <w:trHeight w:val="510" w:hRule="atLeast"/>
        </w:trPr>
        <w:tc>
          <w:tcPr>
            <w:tcW w:w="726"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会议费</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预算数（万元）</w:t>
            </w:r>
          </w:p>
        </w:tc>
        <w:tc>
          <w:tcPr>
            <w:tcW w:w="283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决算数（万元）</w:t>
            </w:r>
          </w:p>
        </w:tc>
        <w:tc>
          <w:tcPr>
            <w:tcW w:w="1418" w:type="dxa"/>
            <w:tcBorders>
              <w:top w:val="single" w:color="auto" w:sz="4" w:space="0"/>
              <w:left w:val="nil"/>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比上年增加（万元）</w:t>
            </w:r>
          </w:p>
        </w:tc>
        <w:tc>
          <w:tcPr>
            <w:tcW w:w="1134" w:type="dxa"/>
            <w:vMerge w:val="restart"/>
            <w:tcBorders>
              <w:top w:val="single" w:color="auto" w:sz="4" w:space="0"/>
              <w:left w:val="nil"/>
              <w:right w:val="single" w:color="auto" w:sz="4" w:space="0"/>
            </w:tcBorders>
            <w:vAlign w:val="center"/>
          </w:tcPr>
          <w:p>
            <w:pPr>
              <w:jc w:val="center"/>
              <w:rPr>
                <w:rFonts w:ascii="宋体" w:hAnsi="宋体" w:cs="宋体"/>
                <w:b/>
                <w:bCs/>
              </w:rPr>
            </w:pPr>
            <w:r>
              <w:rPr>
                <w:rFonts w:hint="eastAsia" w:ascii="宋体" w:hAnsi="宋体" w:cs="宋体"/>
                <w:b/>
                <w:bCs/>
              </w:rPr>
              <w:t>完成年初预算比例%</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比上年增加比例%</w:t>
            </w:r>
          </w:p>
        </w:tc>
      </w:tr>
      <w:tr>
        <w:tblPrEx>
          <w:tblCellMar>
            <w:top w:w="0" w:type="dxa"/>
            <w:left w:w="108" w:type="dxa"/>
            <w:bottom w:w="0" w:type="dxa"/>
            <w:right w:w="108" w:type="dxa"/>
          </w:tblCellMar>
        </w:tblPrEx>
        <w:trPr>
          <w:trHeight w:val="292" w:hRule="atLeast"/>
        </w:trPr>
        <w:tc>
          <w:tcPr>
            <w:tcW w:w="7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2021</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2021</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2021-2020</w:t>
            </w:r>
          </w:p>
        </w:tc>
        <w:tc>
          <w:tcPr>
            <w:tcW w:w="1134" w:type="dxa"/>
            <w:vMerge w:val="continue"/>
            <w:tcBorders>
              <w:left w:val="single" w:color="auto" w:sz="4" w:space="0"/>
              <w:bottom w:val="single" w:color="auto" w:sz="4" w:space="0"/>
              <w:right w:val="single" w:color="auto" w:sz="4" w:space="0"/>
            </w:tcBorders>
            <w:vAlign w:val="center"/>
          </w:tcPr>
          <w:p>
            <w:pPr>
              <w:jc w:val="center"/>
              <w:rPr>
                <w:rFonts w:ascii="宋体" w:hAnsi="宋体" w:cs="宋体"/>
                <w:b/>
                <w:bCs/>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p>
        </w:tc>
      </w:tr>
      <w:tr>
        <w:tblPrEx>
          <w:tblCellMar>
            <w:top w:w="0" w:type="dxa"/>
            <w:left w:w="108" w:type="dxa"/>
            <w:bottom w:w="0" w:type="dxa"/>
            <w:right w:w="108" w:type="dxa"/>
          </w:tblCellMar>
        </w:tblPrEx>
        <w:trPr>
          <w:trHeight w:val="540" w:hRule="atLeast"/>
        </w:trPr>
        <w:tc>
          <w:tcPr>
            <w:tcW w:w="726" w:type="dxa"/>
            <w:tcBorders>
              <w:top w:val="nil"/>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合计</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r>
    </w:tbl>
    <w:p>
      <w:pPr>
        <w:ind w:firstLine="636"/>
        <w:rPr>
          <w:rFonts w:ascii="仿宋_GB2312" w:hAnsi="仿宋" w:eastAsia="仿宋_GB2312"/>
          <w:sz w:val="32"/>
          <w:szCs w:val="32"/>
        </w:rPr>
      </w:pPr>
    </w:p>
    <w:p>
      <w:pPr>
        <w:spacing w:line="220" w:lineRule="atLeast"/>
        <w:ind w:firstLine="482" w:firstLineChars="150"/>
        <w:rPr>
          <w:rFonts w:ascii="仿宋_GB2312" w:hAnsi="仿宋" w:eastAsia="仿宋_GB2312"/>
          <w:b/>
          <w:sz w:val="32"/>
          <w:szCs w:val="32"/>
        </w:rPr>
      </w:pPr>
      <w:r>
        <w:rPr>
          <w:rFonts w:hint="eastAsia" w:ascii="仿宋_GB2312" w:hAnsi="仿宋" w:eastAsia="仿宋_GB2312"/>
          <w:b/>
          <w:sz w:val="32"/>
          <w:szCs w:val="32"/>
        </w:rPr>
        <w:t>3、</w:t>
      </w:r>
      <w:r>
        <w:rPr>
          <w:rFonts w:hint="eastAsia" w:ascii="微软雅黑" w:hAnsi="微软雅黑"/>
          <w:b/>
          <w:sz w:val="28"/>
          <w:szCs w:val="28"/>
        </w:rPr>
        <w:t>其他需要说明的事项</w:t>
      </w:r>
    </w:p>
    <w:p>
      <w:pPr>
        <w:spacing w:line="220" w:lineRule="atLeast"/>
        <w:ind w:firstLine="420" w:firstLineChars="150"/>
        <w:rPr>
          <w:rFonts w:ascii="微软雅黑" w:hAnsi="微软雅黑"/>
          <w:sz w:val="28"/>
          <w:szCs w:val="28"/>
        </w:rPr>
      </w:pPr>
      <w:r>
        <w:rPr>
          <w:rFonts w:hint="eastAsia" w:ascii="微软雅黑" w:hAnsi="微软雅黑"/>
          <w:sz w:val="28"/>
          <w:szCs w:val="28"/>
        </w:rPr>
        <w:t>我单位无其他需要说明的事项。</w:t>
      </w:r>
    </w:p>
    <w:p>
      <w:pPr>
        <w:spacing w:line="220" w:lineRule="atLeast"/>
        <w:rPr>
          <w:b/>
          <w:sz w:val="28"/>
          <w:szCs w:val="28"/>
        </w:rPr>
      </w:pPr>
      <w:r>
        <w:rPr>
          <w:rFonts w:hint="eastAsia"/>
          <w:b/>
          <w:sz w:val="28"/>
          <w:szCs w:val="28"/>
        </w:rPr>
        <w:t>第四部分 名词解释</w:t>
      </w:r>
    </w:p>
    <w:p>
      <w:pPr>
        <w:spacing w:line="220" w:lineRule="atLeast"/>
        <w:ind w:firstLine="560" w:firstLineChars="200"/>
        <w:rPr>
          <w:sz w:val="28"/>
          <w:szCs w:val="28"/>
        </w:rPr>
      </w:pPr>
      <w:r>
        <w:rPr>
          <w:rFonts w:hint="eastAsia"/>
          <w:b/>
          <w:sz w:val="28"/>
          <w:szCs w:val="28"/>
        </w:rPr>
        <w:t>一、财政拨款收入：</w:t>
      </w:r>
      <w:r>
        <w:rPr>
          <w:rFonts w:hint="eastAsia"/>
          <w:sz w:val="28"/>
          <w:szCs w:val="28"/>
        </w:rPr>
        <w:t>指单位从同级财政单位取得的财政预算资金。</w:t>
      </w:r>
    </w:p>
    <w:p>
      <w:pPr>
        <w:spacing w:line="220" w:lineRule="atLeast"/>
        <w:ind w:firstLine="560" w:firstLineChars="200"/>
        <w:rPr>
          <w:sz w:val="28"/>
          <w:szCs w:val="28"/>
        </w:rPr>
      </w:pPr>
      <w:r>
        <w:rPr>
          <w:rFonts w:hint="eastAsia"/>
          <w:b/>
          <w:sz w:val="28"/>
          <w:szCs w:val="28"/>
        </w:rPr>
        <w:t>二、事业收入：</w:t>
      </w:r>
      <w:r>
        <w:rPr>
          <w:rFonts w:hint="eastAsia"/>
          <w:sz w:val="28"/>
          <w:szCs w:val="28"/>
        </w:rPr>
        <w:t>指事业单位开展专业业务活动及辅助活动取得的收入。</w:t>
      </w:r>
    </w:p>
    <w:p>
      <w:pPr>
        <w:spacing w:line="220" w:lineRule="atLeast"/>
        <w:ind w:firstLine="560" w:firstLineChars="200"/>
        <w:rPr>
          <w:sz w:val="28"/>
          <w:szCs w:val="28"/>
        </w:rPr>
      </w:pPr>
      <w:r>
        <w:rPr>
          <w:rFonts w:hint="eastAsia"/>
          <w:b/>
          <w:sz w:val="28"/>
          <w:szCs w:val="28"/>
        </w:rPr>
        <w:t>三、经营收入：</w:t>
      </w:r>
      <w:r>
        <w:rPr>
          <w:rFonts w:hint="eastAsia"/>
          <w:sz w:val="28"/>
          <w:szCs w:val="28"/>
        </w:rPr>
        <w:t>指事业单位在专业业务活动及其辅助活动之外开展非独立核算经营活动取得的收入。</w:t>
      </w:r>
    </w:p>
    <w:p>
      <w:pPr>
        <w:spacing w:line="220" w:lineRule="atLeast"/>
        <w:ind w:firstLine="560" w:firstLineChars="200"/>
        <w:rPr>
          <w:sz w:val="28"/>
          <w:szCs w:val="28"/>
        </w:rPr>
      </w:pPr>
      <w:r>
        <w:rPr>
          <w:rFonts w:hint="eastAsia"/>
          <w:b/>
          <w:sz w:val="28"/>
          <w:szCs w:val="28"/>
        </w:rPr>
        <w:t>四、其他收入：</w:t>
      </w:r>
      <w:r>
        <w:rPr>
          <w:rFonts w:hint="eastAsia"/>
          <w:sz w:val="28"/>
          <w:szCs w:val="28"/>
        </w:rPr>
        <w:t>指单位取得的除上述收入以外的各项收入。主要是事业单位固定资产出租收入、存款利息收入等。</w:t>
      </w:r>
    </w:p>
    <w:p>
      <w:pPr>
        <w:spacing w:line="220" w:lineRule="atLeast"/>
        <w:ind w:firstLine="560" w:firstLineChars="200"/>
        <w:rPr>
          <w:sz w:val="28"/>
          <w:szCs w:val="28"/>
        </w:rPr>
      </w:pPr>
      <w:r>
        <w:rPr>
          <w:rFonts w:hint="eastAsia"/>
          <w:b/>
          <w:sz w:val="28"/>
          <w:szCs w:val="28"/>
        </w:rPr>
        <w:t>五、使用非财政拨款结余：</w:t>
      </w:r>
      <w:r>
        <w:rPr>
          <w:rFonts w:hint="eastAsia"/>
          <w:sz w:val="28"/>
          <w:szCs w:val="28"/>
        </w:rPr>
        <w:t>指事业单位使用以前年度积累的非财政拨款结余弥补当年收支差额的金额。</w:t>
      </w:r>
    </w:p>
    <w:p>
      <w:pPr>
        <w:spacing w:line="220" w:lineRule="atLeast"/>
        <w:ind w:firstLine="560" w:firstLineChars="200"/>
        <w:rPr>
          <w:sz w:val="28"/>
          <w:szCs w:val="28"/>
        </w:rPr>
      </w:pPr>
      <w:r>
        <w:rPr>
          <w:rFonts w:hint="eastAsia"/>
          <w:b/>
          <w:sz w:val="28"/>
          <w:szCs w:val="28"/>
        </w:rPr>
        <w:t>六、年初结转和结余：</w:t>
      </w:r>
      <w:r>
        <w:rPr>
          <w:rFonts w:hint="eastAsia"/>
          <w:sz w:val="28"/>
          <w:szCs w:val="28"/>
        </w:rPr>
        <w:t>指单位以前年度尚未完成、结转到本年仍按原规定用途继续使用的资金，或项目已完成等产生的结余资金。</w:t>
      </w:r>
    </w:p>
    <w:p>
      <w:pPr>
        <w:spacing w:line="220" w:lineRule="atLeast"/>
        <w:ind w:firstLine="560" w:firstLineChars="200"/>
        <w:rPr>
          <w:sz w:val="28"/>
          <w:szCs w:val="28"/>
        </w:rPr>
      </w:pPr>
      <w:r>
        <w:rPr>
          <w:rFonts w:hint="eastAsia"/>
          <w:b/>
          <w:sz w:val="28"/>
          <w:szCs w:val="28"/>
        </w:rPr>
        <w:t>七、结余分配：</w:t>
      </w:r>
      <w:r>
        <w:rPr>
          <w:rFonts w:hint="eastAsia"/>
          <w:sz w:val="28"/>
          <w:szCs w:val="28"/>
        </w:rPr>
        <w:t>指事业单位按照会计制度规定缴纳的所得税、提取的专用结余以及转入非财政拨款结余的金额等。</w:t>
      </w:r>
    </w:p>
    <w:p>
      <w:pPr>
        <w:spacing w:line="220" w:lineRule="atLeast"/>
        <w:ind w:firstLine="560" w:firstLineChars="200"/>
        <w:rPr>
          <w:sz w:val="28"/>
          <w:szCs w:val="28"/>
        </w:rPr>
      </w:pPr>
      <w:r>
        <w:rPr>
          <w:rFonts w:hint="eastAsia"/>
          <w:b/>
          <w:sz w:val="28"/>
          <w:szCs w:val="28"/>
        </w:rPr>
        <w:t>八、年末结转和结余：</w:t>
      </w:r>
      <w:r>
        <w:rPr>
          <w:rFonts w:hint="eastAsia"/>
          <w:sz w:val="28"/>
          <w:szCs w:val="28"/>
        </w:rPr>
        <w:t>指单位按有关规定结转到下年或以后年度继续使用的资金，或项目已完成等产生的结余资金。</w:t>
      </w:r>
    </w:p>
    <w:p>
      <w:pPr>
        <w:spacing w:line="220" w:lineRule="atLeast"/>
        <w:ind w:firstLine="560" w:firstLineChars="200"/>
        <w:rPr>
          <w:sz w:val="28"/>
          <w:szCs w:val="28"/>
        </w:rPr>
      </w:pPr>
      <w:r>
        <w:rPr>
          <w:rFonts w:hint="eastAsia"/>
          <w:b/>
          <w:sz w:val="28"/>
          <w:szCs w:val="28"/>
        </w:rPr>
        <w:t>九、基本支出：</w:t>
      </w:r>
      <w:r>
        <w:rPr>
          <w:rFonts w:hint="eastAsia"/>
          <w:sz w:val="28"/>
          <w:szCs w:val="28"/>
        </w:rPr>
        <w:t>指为保障机构正常运转、完成日常工作任务而发生的人员支出和公用支出。</w:t>
      </w:r>
    </w:p>
    <w:p>
      <w:pPr>
        <w:spacing w:line="220" w:lineRule="atLeast"/>
        <w:ind w:firstLine="560" w:firstLineChars="200"/>
        <w:rPr>
          <w:sz w:val="28"/>
          <w:szCs w:val="28"/>
        </w:rPr>
      </w:pPr>
      <w:r>
        <w:rPr>
          <w:rFonts w:hint="eastAsia"/>
          <w:b/>
          <w:sz w:val="28"/>
          <w:szCs w:val="28"/>
        </w:rPr>
        <w:t>十、项目支出：</w:t>
      </w:r>
      <w:r>
        <w:rPr>
          <w:rFonts w:hint="eastAsia"/>
          <w:sz w:val="28"/>
          <w:szCs w:val="28"/>
        </w:rPr>
        <w:t>指在基本支出之外为完成特定行政任务和事业发展目标所发生的支出。</w:t>
      </w:r>
    </w:p>
    <w:p>
      <w:pPr>
        <w:spacing w:line="220" w:lineRule="atLeast"/>
        <w:ind w:firstLine="560" w:firstLineChars="200"/>
        <w:rPr>
          <w:sz w:val="28"/>
          <w:szCs w:val="28"/>
        </w:rPr>
      </w:pPr>
      <w:r>
        <w:rPr>
          <w:rFonts w:hint="eastAsia"/>
          <w:b/>
          <w:sz w:val="28"/>
          <w:szCs w:val="28"/>
        </w:rPr>
        <w:t>十一、“三公”经费：</w:t>
      </w:r>
      <w:r>
        <w:rPr>
          <w:rFonts w:hint="eastAsia"/>
          <w:sz w:val="28"/>
          <w:szCs w:val="28"/>
        </w:rPr>
        <w:t>指省直单位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220" w:lineRule="atLeast"/>
        <w:ind w:firstLine="560" w:firstLineChars="200"/>
        <w:rPr>
          <w:sz w:val="28"/>
          <w:szCs w:val="28"/>
        </w:rPr>
      </w:pPr>
      <w:r>
        <w:rPr>
          <w:rFonts w:hint="eastAsia"/>
          <w:b/>
          <w:sz w:val="28"/>
          <w:szCs w:val="28"/>
        </w:rPr>
        <w:t>十二、机关运行经费：</w:t>
      </w:r>
      <w:r>
        <w:rPr>
          <w:rFonts w:hint="eastAsia"/>
          <w:sz w:val="28"/>
          <w:szCs w:val="28"/>
        </w:rPr>
        <w:t>指行政单位和参照公务员法管理的事业单位使用一般公共预算安排的基本支出中的日常公用经费支出。</w:t>
      </w:r>
    </w:p>
    <w:p>
      <w:pPr>
        <w:autoSpaceDE w:val="0"/>
        <w:autoSpaceDN w:val="0"/>
        <w:ind w:firstLine="560" w:firstLineChars="200"/>
        <w:rPr>
          <w:rFonts w:ascii="仿宋_GB2312" w:hAnsi="仿宋" w:eastAsia="仿宋_GB2312"/>
          <w:sz w:val="32"/>
          <w:szCs w:val="32"/>
        </w:rPr>
      </w:pPr>
      <w:r>
        <w:rPr>
          <w:rFonts w:hint="eastAsia"/>
          <w:b/>
          <w:sz w:val="28"/>
          <w:szCs w:val="28"/>
        </w:rPr>
        <w:t>十三、政府购买服务：</w:t>
      </w:r>
      <w:r>
        <w:rPr>
          <w:rFonts w:hint="eastAsia"/>
          <w:sz w:val="28"/>
          <w:szCs w:val="28"/>
        </w:rPr>
        <w:t>根据我国现行政策规定，政府购买服务，是指政府按照一定的方式和程序，把属于政府职责范围且适合通过市场化方式提供的服务事项，交由符合条件的社会力量和事业单位承担，并根据服务数量和质量等向其支付费用的行为。政府购买服务是一种契约化的公共服务提供方式，具有权责清晰、结果导向、灵活高效等特点。</w:t>
      </w:r>
    </w:p>
    <w:p>
      <w:pPr>
        <w:autoSpaceDE w:val="0"/>
        <w:autoSpaceDN w:val="0"/>
        <w:ind w:firstLine="560" w:firstLineChars="200"/>
        <w:rPr>
          <w:rFonts w:ascii="仿宋_GB2312" w:hAnsi="仿宋" w:eastAsia="仿宋_GB2312"/>
          <w:sz w:val="32"/>
          <w:szCs w:val="32"/>
        </w:rPr>
      </w:pPr>
      <w:r>
        <w:rPr>
          <w:rFonts w:hint="eastAsia"/>
          <w:b/>
          <w:sz w:val="28"/>
          <w:szCs w:val="28"/>
        </w:rPr>
        <w:t>十四、</w:t>
      </w:r>
      <w:r>
        <w:rPr>
          <w:b/>
          <w:sz w:val="28"/>
          <w:szCs w:val="28"/>
        </w:rPr>
        <w:t>人员经费</w:t>
      </w:r>
      <w:r>
        <w:rPr>
          <w:rFonts w:hint="eastAsia"/>
          <w:b/>
          <w:sz w:val="28"/>
          <w:szCs w:val="28"/>
        </w:rPr>
        <w:t>：</w:t>
      </w:r>
      <w:r>
        <w:rPr>
          <w:sz w:val="28"/>
          <w:szCs w:val="28"/>
        </w:rPr>
        <w:t>主要包括：基本工资、津贴补贴、奖金、社会保障缴费、伙食补助费、绩效工资、其他工资福利支出、离休费、退休费、抚恤金、生活补助、医疗费、奖励金、住房公积金、提租补贴</w:t>
      </w:r>
      <w:r>
        <w:rPr>
          <w:rFonts w:hint="eastAsia"/>
          <w:sz w:val="28"/>
          <w:szCs w:val="28"/>
        </w:rPr>
        <w:t>、</w:t>
      </w:r>
      <w:r>
        <w:rPr>
          <w:sz w:val="28"/>
          <w:szCs w:val="28"/>
        </w:rPr>
        <w:t>其他对个人和家庭的补助支出。</w:t>
      </w:r>
    </w:p>
    <w:p>
      <w:pPr>
        <w:autoSpaceDE w:val="0"/>
        <w:autoSpaceDN w:val="0"/>
        <w:ind w:firstLine="560" w:firstLineChars="200"/>
        <w:rPr>
          <w:sz w:val="28"/>
          <w:szCs w:val="28"/>
        </w:rPr>
      </w:pPr>
      <w:r>
        <w:rPr>
          <w:rFonts w:hint="eastAsia"/>
          <w:b/>
          <w:sz w:val="28"/>
          <w:szCs w:val="28"/>
        </w:rPr>
        <w:t>十五、</w:t>
      </w:r>
      <w:r>
        <w:rPr>
          <w:b/>
          <w:sz w:val="28"/>
          <w:szCs w:val="28"/>
        </w:rPr>
        <w:t>公用经费</w:t>
      </w:r>
      <w:r>
        <w:rPr>
          <w:rFonts w:hint="eastAsia"/>
          <w:b/>
          <w:sz w:val="28"/>
          <w:szCs w:val="28"/>
        </w:rPr>
        <w:t>：</w:t>
      </w:r>
      <w:r>
        <w:rPr>
          <w:sz w:val="28"/>
          <w:szCs w:val="28"/>
        </w:rPr>
        <w:t>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pPr>
        <w:spacing w:line="220" w:lineRule="atLeast"/>
        <w:rPr>
          <w:rFonts w:hint="eastAsia"/>
          <w:b/>
          <w:sz w:val="28"/>
          <w:szCs w:val="28"/>
        </w:rPr>
      </w:pPr>
      <w:r>
        <w:rPr>
          <w:rFonts w:hint="eastAsia"/>
          <w:b/>
          <w:sz w:val="28"/>
          <w:szCs w:val="28"/>
        </w:rPr>
        <w:t>第五部分 附件</w:t>
      </w:r>
    </w:p>
    <w:p>
      <w:pPr>
        <w:spacing w:line="220" w:lineRule="atLeast"/>
        <w:rPr>
          <w:sz w:val="28"/>
          <w:szCs w:val="28"/>
        </w:rPr>
        <w:sectPr>
          <w:pgSz w:w="11906" w:h="16838"/>
          <w:pgMar w:top="1440" w:right="1800" w:bottom="1440" w:left="1800" w:header="708" w:footer="708" w:gutter="0"/>
          <w:pgNumType w:start="1"/>
          <w:cols w:space="708" w:num="1"/>
          <w:docGrid w:linePitch="360" w:charSpace="0"/>
        </w:sectPr>
      </w:pPr>
      <w:r>
        <w:rPr>
          <w:rFonts w:hint="eastAsia"/>
          <w:sz w:val="28"/>
          <w:szCs w:val="28"/>
        </w:rPr>
        <w:t xml:space="preserve">       我单位2021年度没有其他需要说明的事项</w:t>
      </w:r>
    </w:p>
    <w:p>
      <w:pPr>
        <w:spacing w:line="220" w:lineRule="atLeast"/>
        <w:rPr>
          <w:b/>
          <w:sz w:val="28"/>
          <w:szCs w:val="28"/>
        </w:rPr>
      </w:pPr>
    </w:p>
    <w:sectPr>
      <w:type w:val="continuous"/>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F9E711"/>
    <w:multiLevelType w:val="singleLevel"/>
    <w:tmpl w:val="4EF9E71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NDYzOWM2ZDEzZWY3MTY3OTAwMTU1MTdlZmE4OTk1NGYifQ=="/>
  </w:docVars>
  <w:rsids>
    <w:rsidRoot w:val="00D31D50"/>
    <w:rsid w:val="000034DB"/>
    <w:rsid w:val="00015092"/>
    <w:rsid w:val="0005715E"/>
    <w:rsid w:val="00065A92"/>
    <w:rsid w:val="000A5B5D"/>
    <w:rsid w:val="000B4C5F"/>
    <w:rsid w:val="000B6182"/>
    <w:rsid w:val="000C4302"/>
    <w:rsid w:val="000D30E1"/>
    <w:rsid w:val="00112EF7"/>
    <w:rsid w:val="001151FD"/>
    <w:rsid w:val="00116783"/>
    <w:rsid w:val="00130F93"/>
    <w:rsid w:val="00137AEF"/>
    <w:rsid w:val="0014259E"/>
    <w:rsid w:val="00150E25"/>
    <w:rsid w:val="001625CD"/>
    <w:rsid w:val="00180459"/>
    <w:rsid w:val="00182E6D"/>
    <w:rsid w:val="001A555A"/>
    <w:rsid w:val="001B4B3F"/>
    <w:rsid w:val="001D282C"/>
    <w:rsid w:val="001F6417"/>
    <w:rsid w:val="00222326"/>
    <w:rsid w:val="0022359D"/>
    <w:rsid w:val="00234B1B"/>
    <w:rsid w:val="00250955"/>
    <w:rsid w:val="00257132"/>
    <w:rsid w:val="00261980"/>
    <w:rsid w:val="00277777"/>
    <w:rsid w:val="00280E08"/>
    <w:rsid w:val="002B5A91"/>
    <w:rsid w:val="002C1613"/>
    <w:rsid w:val="002E3B64"/>
    <w:rsid w:val="00320F90"/>
    <w:rsid w:val="00323B43"/>
    <w:rsid w:val="0032692D"/>
    <w:rsid w:val="00331879"/>
    <w:rsid w:val="00345A54"/>
    <w:rsid w:val="00346E9C"/>
    <w:rsid w:val="0034710F"/>
    <w:rsid w:val="0035346B"/>
    <w:rsid w:val="003567F3"/>
    <w:rsid w:val="00375439"/>
    <w:rsid w:val="00391C06"/>
    <w:rsid w:val="003A3622"/>
    <w:rsid w:val="003B55EA"/>
    <w:rsid w:val="003B706B"/>
    <w:rsid w:val="003D37D8"/>
    <w:rsid w:val="003D480B"/>
    <w:rsid w:val="003E27ED"/>
    <w:rsid w:val="003F3218"/>
    <w:rsid w:val="00402CD9"/>
    <w:rsid w:val="004129E8"/>
    <w:rsid w:val="00413DEB"/>
    <w:rsid w:val="004207FB"/>
    <w:rsid w:val="00424FEA"/>
    <w:rsid w:val="00426133"/>
    <w:rsid w:val="004358AB"/>
    <w:rsid w:val="004474A0"/>
    <w:rsid w:val="00474F3A"/>
    <w:rsid w:val="00481E35"/>
    <w:rsid w:val="00481E91"/>
    <w:rsid w:val="004B1117"/>
    <w:rsid w:val="004B2FD8"/>
    <w:rsid w:val="004D7942"/>
    <w:rsid w:val="004F2386"/>
    <w:rsid w:val="004F3BD3"/>
    <w:rsid w:val="00534286"/>
    <w:rsid w:val="00544D0C"/>
    <w:rsid w:val="0057790D"/>
    <w:rsid w:val="00586AAF"/>
    <w:rsid w:val="00587E89"/>
    <w:rsid w:val="005D49F3"/>
    <w:rsid w:val="005E4446"/>
    <w:rsid w:val="005F5CEF"/>
    <w:rsid w:val="005F7A3E"/>
    <w:rsid w:val="0060630C"/>
    <w:rsid w:val="006138A3"/>
    <w:rsid w:val="00626F0F"/>
    <w:rsid w:val="00632EB9"/>
    <w:rsid w:val="00642893"/>
    <w:rsid w:val="00661B9D"/>
    <w:rsid w:val="006771DA"/>
    <w:rsid w:val="006B5051"/>
    <w:rsid w:val="006C6B8A"/>
    <w:rsid w:val="006D1676"/>
    <w:rsid w:val="006D1A65"/>
    <w:rsid w:val="006D641F"/>
    <w:rsid w:val="00704A94"/>
    <w:rsid w:val="007144CD"/>
    <w:rsid w:val="007313E8"/>
    <w:rsid w:val="00757151"/>
    <w:rsid w:val="00760958"/>
    <w:rsid w:val="00773998"/>
    <w:rsid w:val="007816A0"/>
    <w:rsid w:val="007917B1"/>
    <w:rsid w:val="007A3408"/>
    <w:rsid w:val="007C53C5"/>
    <w:rsid w:val="00802B59"/>
    <w:rsid w:val="008536B8"/>
    <w:rsid w:val="008563AB"/>
    <w:rsid w:val="00857C8B"/>
    <w:rsid w:val="008719F7"/>
    <w:rsid w:val="008806F0"/>
    <w:rsid w:val="00886BEC"/>
    <w:rsid w:val="00890813"/>
    <w:rsid w:val="00893354"/>
    <w:rsid w:val="008A38E1"/>
    <w:rsid w:val="008B7726"/>
    <w:rsid w:val="008C3D62"/>
    <w:rsid w:val="008C4AC1"/>
    <w:rsid w:val="008D288F"/>
    <w:rsid w:val="008E7165"/>
    <w:rsid w:val="008F19A4"/>
    <w:rsid w:val="008F27AF"/>
    <w:rsid w:val="00914AA8"/>
    <w:rsid w:val="0092060B"/>
    <w:rsid w:val="00922A35"/>
    <w:rsid w:val="009308A6"/>
    <w:rsid w:val="00943B0A"/>
    <w:rsid w:val="0096078A"/>
    <w:rsid w:val="009669AE"/>
    <w:rsid w:val="0097038A"/>
    <w:rsid w:val="009A533E"/>
    <w:rsid w:val="009A5671"/>
    <w:rsid w:val="009A6452"/>
    <w:rsid w:val="009B73BC"/>
    <w:rsid w:val="009C4F82"/>
    <w:rsid w:val="009D6C64"/>
    <w:rsid w:val="009F7431"/>
    <w:rsid w:val="00A46367"/>
    <w:rsid w:val="00A61FAF"/>
    <w:rsid w:val="00A73E29"/>
    <w:rsid w:val="00A76713"/>
    <w:rsid w:val="00A86E94"/>
    <w:rsid w:val="00AD7358"/>
    <w:rsid w:val="00AD7F7B"/>
    <w:rsid w:val="00AE1E0B"/>
    <w:rsid w:val="00AF1714"/>
    <w:rsid w:val="00AF73B7"/>
    <w:rsid w:val="00B05C60"/>
    <w:rsid w:val="00B11481"/>
    <w:rsid w:val="00B24AE1"/>
    <w:rsid w:val="00B81AA3"/>
    <w:rsid w:val="00B87AD6"/>
    <w:rsid w:val="00B945EF"/>
    <w:rsid w:val="00B96867"/>
    <w:rsid w:val="00B969B8"/>
    <w:rsid w:val="00BD3FF2"/>
    <w:rsid w:val="00BE7EBF"/>
    <w:rsid w:val="00C03799"/>
    <w:rsid w:val="00C11733"/>
    <w:rsid w:val="00C12E0D"/>
    <w:rsid w:val="00C3223F"/>
    <w:rsid w:val="00C3277B"/>
    <w:rsid w:val="00C440E2"/>
    <w:rsid w:val="00C46175"/>
    <w:rsid w:val="00C52272"/>
    <w:rsid w:val="00C858AD"/>
    <w:rsid w:val="00C85A8F"/>
    <w:rsid w:val="00CA1335"/>
    <w:rsid w:val="00CA7839"/>
    <w:rsid w:val="00CB6F81"/>
    <w:rsid w:val="00CC5009"/>
    <w:rsid w:val="00CD5ED3"/>
    <w:rsid w:val="00CD6553"/>
    <w:rsid w:val="00CF2B1A"/>
    <w:rsid w:val="00CF497D"/>
    <w:rsid w:val="00CF6512"/>
    <w:rsid w:val="00CF7806"/>
    <w:rsid w:val="00D13827"/>
    <w:rsid w:val="00D21D99"/>
    <w:rsid w:val="00D31D50"/>
    <w:rsid w:val="00D65D54"/>
    <w:rsid w:val="00D6655E"/>
    <w:rsid w:val="00D67621"/>
    <w:rsid w:val="00D70DBD"/>
    <w:rsid w:val="00D71FA2"/>
    <w:rsid w:val="00DB1C56"/>
    <w:rsid w:val="00DB2286"/>
    <w:rsid w:val="00DC2F17"/>
    <w:rsid w:val="00DC4049"/>
    <w:rsid w:val="00DF7E48"/>
    <w:rsid w:val="00E173C3"/>
    <w:rsid w:val="00E2388E"/>
    <w:rsid w:val="00E34FA3"/>
    <w:rsid w:val="00E72552"/>
    <w:rsid w:val="00E751B6"/>
    <w:rsid w:val="00E75761"/>
    <w:rsid w:val="00E92F6D"/>
    <w:rsid w:val="00EC3B89"/>
    <w:rsid w:val="00EC6A3F"/>
    <w:rsid w:val="00EF6880"/>
    <w:rsid w:val="00F03A02"/>
    <w:rsid w:val="00F30906"/>
    <w:rsid w:val="00F3245B"/>
    <w:rsid w:val="00F41066"/>
    <w:rsid w:val="00F646A3"/>
    <w:rsid w:val="00F90000"/>
    <w:rsid w:val="00FA0D4A"/>
    <w:rsid w:val="00FA3F9F"/>
    <w:rsid w:val="00FC472E"/>
    <w:rsid w:val="00FC523D"/>
    <w:rsid w:val="00FD26CE"/>
    <w:rsid w:val="00FE3D82"/>
    <w:rsid w:val="00FE6260"/>
    <w:rsid w:val="00FF39E1"/>
    <w:rsid w:val="00FF597A"/>
    <w:rsid w:val="00FF740D"/>
    <w:rsid w:val="03ED0EAE"/>
    <w:rsid w:val="05C83382"/>
    <w:rsid w:val="07482756"/>
    <w:rsid w:val="0B6A5D61"/>
    <w:rsid w:val="0BC71F95"/>
    <w:rsid w:val="0DDA1988"/>
    <w:rsid w:val="122B0F08"/>
    <w:rsid w:val="14522CB8"/>
    <w:rsid w:val="1494129E"/>
    <w:rsid w:val="16196B8E"/>
    <w:rsid w:val="177922F0"/>
    <w:rsid w:val="1C5526BE"/>
    <w:rsid w:val="1DA20E67"/>
    <w:rsid w:val="27532138"/>
    <w:rsid w:val="298D2EC4"/>
    <w:rsid w:val="2DD8204D"/>
    <w:rsid w:val="3B157ECC"/>
    <w:rsid w:val="3CFA188B"/>
    <w:rsid w:val="3DB17760"/>
    <w:rsid w:val="412D76CA"/>
    <w:rsid w:val="436E742C"/>
    <w:rsid w:val="45B66FD5"/>
    <w:rsid w:val="45C626AF"/>
    <w:rsid w:val="48B82101"/>
    <w:rsid w:val="4EC825BC"/>
    <w:rsid w:val="55C6790F"/>
    <w:rsid w:val="567767F4"/>
    <w:rsid w:val="640F36AF"/>
    <w:rsid w:val="650A312E"/>
    <w:rsid w:val="6BC02DFB"/>
    <w:rsid w:val="744F0CEB"/>
    <w:rsid w:val="78CB6182"/>
    <w:rsid w:val="795E1371"/>
    <w:rsid w:val="7A5D5287"/>
    <w:rsid w:val="7C372603"/>
    <w:rsid w:val="7DD906F7"/>
    <w:rsid w:val="7F0A5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10A5B8C-2657-4056-A990-102354B09784}">
  <ds:schemaRefs/>
</ds:datastoreItem>
</file>

<file path=docProps/app.xml><?xml version="1.0" encoding="utf-8"?>
<Properties xmlns="http://schemas.openxmlformats.org/officeDocument/2006/extended-properties" xmlns:vt="http://schemas.openxmlformats.org/officeDocument/2006/docPropsVTypes">
  <Template>Normal</Template>
  <Pages>16</Pages>
  <Words>8412</Words>
  <Characters>9055</Characters>
  <Lines>70</Lines>
  <Paragraphs>19</Paragraphs>
  <TotalTime>14</TotalTime>
  <ScaleCrop>false</ScaleCrop>
  <LinksUpToDate>false</LinksUpToDate>
  <CharactersWithSpaces>9162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2022-05-16T01:49:00Z</dcterms:created>
  <dc:creator>Administrator</dc:creator>
  <cp:lastModifiedBy>Administrator</cp:lastModifiedBy>
  <dcterms:modified xsi:type="dcterms:W3CDTF">2023-05-12T06:54:45Z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B4620B9C9D524FF0ADD3800BFCFDAF9D</vt:lpwstr>
  </property>
</Properties>
</file>