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703514平顺县虹梯关乡卫生院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tabs>
          <w:tab w:val="left" w:pos="1363"/>
        </w:tabs>
        <w:spacing w:after="0"/>
        <w:ind w:firstLine="560" w:firstLineChars="200"/>
        <w:rPr>
          <w:rFonts w:ascii="微软雅黑" w:hAnsi="微软雅黑" w:cs="微软雅黑"/>
          <w:sz w:val="28"/>
          <w:szCs w:val="28"/>
        </w:rPr>
      </w:pPr>
      <w:r>
        <w:rPr>
          <w:rFonts w:hint="eastAsia"/>
          <w:sz w:val="28"/>
          <w:szCs w:val="28"/>
        </w:rPr>
        <w:t xml:space="preserve"> </w:t>
      </w:r>
      <w:r>
        <w:rPr>
          <w:rFonts w:hint="eastAsia" w:ascii="微软雅黑" w:hAnsi="微软雅黑" w:cs="微软雅黑"/>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虹梯关乡卫生院，为县卫生健康和体育局下属财政补助全额拨款事业单位。</w:t>
      </w:r>
    </w:p>
    <w:p>
      <w:pPr>
        <w:tabs>
          <w:tab w:val="left" w:pos="1363"/>
        </w:tabs>
        <w:spacing w:after="0"/>
        <w:ind w:firstLine="560" w:firstLineChars="200"/>
        <w:rPr>
          <w:rFonts w:ascii="微软雅黑" w:hAnsi="微软雅黑" w:cs="微软雅黑"/>
          <w:sz w:val="28"/>
          <w:szCs w:val="28"/>
        </w:rPr>
      </w:pPr>
      <w:r>
        <w:rPr>
          <w:rFonts w:hint="eastAsia" w:ascii="微软雅黑" w:hAnsi="微软雅黑" w:cs="微软雅黑"/>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hint="eastAsia" w:ascii="微软雅黑" w:hAnsi="微软雅黑" w:cs="微软雅黑"/>
          <w:sz w:val="28"/>
          <w:szCs w:val="28"/>
        </w:rPr>
      </w:pPr>
      <w:r>
        <w:rPr>
          <w:rFonts w:ascii="仿宋_GB2312" w:hAnsi="楷体" w:eastAsia="仿宋_GB2312"/>
          <w:sz w:val="28"/>
          <w:szCs w:val="28"/>
        </w:rPr>
        <w:t xml:space="preserve">1. </w:t>
      </w:r>
      <w:r>
        <w:rPr>
          <w:rFonts w:hint="eastAsia" w:ascii="微软雅黑" w:hAnsi="微软雅黑" w:cs="微软雅黑"/>
          <w:sz w:val="28"/>
          <w:szCs w:val="28"/>
        </w:rPr>
        <w:t>根据单位职责分工，本单位内设机构包括办公室、内科、中医科、全科医学科、公共卫生科、检验科、放射科。 。本单位无下属单位包括。</w:t>
      </w:r>
    </w:p>
    <w:p>
      <w:pPr>
        <w:ind w:firstLine="560" w:firstLineChars="200"/>
        <w:rPr>
          <w:rFonts w:ascii="微软雅黑" w:hAnsi="微软雅黑" w:cs="微软雅黑"/>
          <w:sz w:val="28"/>
          <w:szCs w:val="28"/>
        </w:rPr>
      </w:pPr>
      <w:r>
        <w:rPr>
          <w:rFonts w:ascii="仿宋_GB2312" w:hAnsi="楷体" w:eastAsia="仿宋_GB2312"/>
          <w:sz w:val="28"/>
          <w:szCs w:val="28"/>
        </w:rPr>
        <w:t xml:space="preserve">2. </w:t>
      </w:r>
      <w:r>
        <w:rPr>
          <w:rFonts w:hint="eastAsia" w:ascii="微软雅黑" w:hAnsi="微软雅黑" w:cs="微软雅黑"/>
          <w:sz w:val="28"/>
          <w:szCs w:val="28"/>
        </w:rPr>
        <w:t>从决算单位构成看，纳入平顺县虹梯关乡卫生院单位2021年单位汇总决算编制范围的预算单位共计1家，具体包括：平顺县虹梯关乡卫生院。</w:t>
      </w:r>
    </w:p>
    <w:p>
      <w:pPr>
        <w:rPr>
          <w:rFonts w:ascii="微软雅黑" w:hAnsi="微软雅黑" w:cs="微软雅黑"/>
          <w:sz w:val="28"/>
          <w:szCs w:val="28"/>
        </w:rPr>
      </w:pPr>
      <w:r>
        <w:rPr>
          <w:rFonts w:hint="eastAsia" w:ascii="微软雅黑" w:hAnsi="微软雅黑" w:cs="微软雅黑"/>
          <w:sz w:val="28"/>
          <w:szCs w:val="28"/>
        </w:rPr>
        <w:t>三、年度工作计划及执行情况</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2021年我院的财务管理工作主要从以下几个方面开展：</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1、强化内部管理，进一步完善财务管理制度</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认真做好各项财经法律、法规的制度执行，严格财政支出的使用，严格执行政府采购制度的执行。严格执行车辆管理的相关制度，更好的监督三公费用的使用。</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2、严格预算执行，为各项指标完成提供指导</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认真编制了财务预算，严把收支关，做到有预算不超支、无预算不开支，认真审核，保证合理、节约、有效地安排使用资金。</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3、做好日常核算和决算工作，进一步深化公立医院改革</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4、积极配合其他单位工作。 </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很好地完成了社保单位医药费的结算，完成了民政单位医疗救助的结算等工作。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5、按时按要求进行项目绩效申报，对项目绩效进行有效管理。</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   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sz w:val="28"/>
          <w:szCs w:val="28"/>
        </w:rPr>
      </w:pPr>
      <w:r>
        <w:rPr>
          <w:rFonts w:hint="eastAsia"/>
          <w:sz w:val="28"/>
          <w:szCs w:val="28"/>
        </w:rPr>
        <w:t>（注：</w:t>
      </w:r>
      <w:r>
        <w:rPr>
          <w:rFonts w:hint="eastAsia"/>
          <w:sz w:val="28"/>
          <w:szCs w:val="28"/>
          <w:lang w:eastAsia="zh-CN"/>
        </w:rPr>
        <w:t>我单位没有使用政府性基金预算财政拨款收入支出和国有资本经营预算安排的支出，故</w:t>
      </w:r>
      <w:r>
        <w:rPr>
          <w:rFonts w:hint="eastAsia"/>
          <w:sz w:val="28"/>
          <w:szCs w:val="28"/>
        </w:rPr>
        <w:t>无数据）</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301.3886万元、支出总计345.8620万元。与上年相比，收入总计增加-81.554万元，增加-21.30%，支出总计增加16.3073万元，增加4.95%。主要原因是住院门诊病人大幅度下降，收入减少。人员增加，工资福利增加、购置办公设备导致相应的支出增加。</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301.3886万元，其中：财政拨款收入172.5947万元，占比57.27%；上级补助收入0万元，占比0%；事业收入128.7939万元，占比42.73%；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2021年度支出合计345.8620万元，其中：基本支出266.5025万元，占比77.05%；项目支出79.3594万元，占比22.95%；上缴上级支出0万元，占比0%，经营支出0万元，占比0%，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172.5947万元、支出总计172.7007万元。与上年相比，财政拨款收入总计增加76.5282万元，增加79.66%，财政拨款支出总计增加76.4849万元，增加79.49%。主要原因是本年公共卫生收入支出纳入财政统一支付。</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2021年度财政拨款支出172.7007万元，占本年支出合计的49.93%。与上年相比，财政拨款支出增加76.4849万元，增加79.49%。主要原因是本年公共卫生收入支出纳入财政统一支付。其中，人员经费102.6126万元，占比59.42%， 日常公用经费1.2万元，占比0.69%。</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rFonts w:hint="eastAsia" w:eastAsia="微软雅黑"/>
          <w:sz w:val="28"/>
          <w:szCs w:val="28"/>
          <w:lang w:val="en-US" w:eastAsia="zh-CN"/>
        </w:rPr>
      </w:pPr>
      <w:r>
        <w:rPr>
          <w:rFonts w:hint="eastAsia"/>
          <w:sz w:val="28"/>
          <w:szCs w:val="28"/>
        </w:rPr>
        <w:t>2021年度财政拨款支出172.7007万元，主要用于以下方面：一般公共服务（类）支出1.2万元，占0.69%；外交（类）支出0万元，占0%；国防（类）支出0万元，占0%；公共安全（类）支出0万元，占0%；教育（类）支出0万元，占0%；科学技术（类）支出0万元，占0%；文化旅游体育与传媒（类）支出0万元，占0%；社会保障和就业（类）支出9.0274万元，</w:t>
      </w:r>
      <w:r>
        <w:rPr>
          <w:sz w:val="28"/>
          <w:szCs w:val="28"/>
        </w:rPr>
        <w:t xml:space="preserve"> </w:t>
      </w:r>
      <w:r>
        <w:rPr>
          <w:rFonts w:hint="eastAsia"/>
          <w:sz w:val="28"/>
          <w:szCs w:val="28"/>
        </w:rPr>
        <w:t>占5.23%；卫生健康（类）支出155.1382万元，占89.83%；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7.3350万元，占4.25%；粮油物资储备（类）支出0万元，占0%；国有资本经营预算（类）支出0万元，占0%；灾害防治及应急管理（类）支出0万元，占0%；其（类）支出0万元，占0%；债务还本（类）支出0万元，占0%；债务付息（类）支出0万元，占0%；抗疫特别国债安排（类）支出0万元，占0%</w:t>
      </w:r>
      <w:r>
        <w:rPr>
          <w:rFonts w:hint="eastAsia"/>
          <w:sz w:val="28"/>
          <w:szCs w:val="28"/>
          <w:lang w:val="en-US" w:eastAsia="zh-CN"/>
        </w:rPr>
        <w:t>.</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2021年度财政拨款支出年初预算174.3677万元，支出决算172.7007万元，完成年初预算的99.04%。其中：</w:t>
      </w:r>
    </w:p>
    <w:p>
      <w:pPr>
        <w:spacing w:line="220" w:lineRule="atLeast"/>
        <w:ind w:firstLine="560" w:firstLineChars="200"/>
        <w:rPr>
          <w:b/>
          <w:sz w:val="28"/>
          <w:szCs w:val="28"/>
        </w:rPr>
      </w:pPr>
      <w:r>
        <w:rPr>
          <w:rFonts w:hint="eastAsia"/>
          <w:sz w:val="28"/>
          <w:szCs w:val="28"/>
        </w:rPr>
        <w:t>一般公共服务支出年初预算1.2万元，支出决算1.2万元完成年初预算的100%，用于单位工会经费支出。较上年决算增加-0.0498万元，增长-3.98%，主要原因退休两人，人员及工资减少，工会经费相应减少; 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社会保障和就业支出年初预算8.58万元，支出决算9.0274万元，完成年初预算的105.21%，用于职工养老保险费支出，较上年决算增加-1.2807万元，增长-12.42%，主要原因退休两人，人员工资减少，相应缴费基数减少; 卫生健康支出年初预算157.7377万元，支出决算155.1382万元，完成年初预算的98.35%，用于人员经费和卫生健康项目支出，较上年决算增加79.2234万元，增长104.35%，主要原因人员工资增加、公共卫生服务支出增加;</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 金融支出年初预算0万元，支出决算0万元，完成年初预算的0%，用于本年度未安排，较上年决算增加0万元，增长0%，主要原因本年度未安排; 援助其他地区支出年初预算0万元，支出决算0万元完成年初预算的0%，用于本年度未安排，较上年决算增加0万元，增长0%，主要原因本年度未安排; 自然资源海洋气象等支出年初预算0万元，支出决算0万元，完成年初预算的0%，用于本年度未安排，较上年决算增加0万元，增长0%，主要原因本年度未安排; 住房保障支出年初预算6.85万元，支出决算7.335万元，完成年初预算的107.08%，用于职工住房公积金配套支出，较上年决算增加0.2113万元，增长2.97%，主要原因人员及工资增加，相应的配套支出增加;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其他支出年初预算0万元，支出决算0万元完成年初预算的0%，用于本年度未安排，较上年决算增加0万元，增长0%，主要原因本年度未安排;债务还本支出年初预算0万元，支出决算0万元，完成年初预算的0%，用于本年度未安排，较上年决算增加0万元，增长0%，主要原因本年度未安排;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2021年度财政拨款基本支出102.6126万元，其中：人员经费101.4126万元，主要包括人员工资及养老保险、医疗保险、住房公积金配套支出；公用经费1.2万元，主要包括工会经费支出。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8381" w:type="dxa"/>
        <w:tblInd w:w="91" w:type="dxa"/>
        <w:tblLayout w:type="fixed"/>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87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0</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宋体"/>
              </w:rPr>
            </w:pPr>
            <w:r>
              <w:rPr>
                <w:rFonts w:hint="eastAsia" w:ascii="宋体" w:hAnsi="宋体" w:cs="宋体"/>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fixed"/>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%，原因是本年度未安排）；公务接待费年初预算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w:t>
      </w:r>
      <w:r>
        <w:rPr>
          <w:rFonts w:ascii="微软雅黑" w:hAnsi="微软雅黑"/>
          <w:sz w:val="28"/>
          <w:szCs w:val="28"/>
        </w:rPr>
        <w:t>未使用一般公共预算拨款开支的国内公务接待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2021年机关运行经费支出0万元</w:t>
      </w:r>
      <w:r>
        <w:rPr>
          <w:rFonts w:hint="eastAsia"/>
          <w:sz w:val="28"/>
          <w:szCs w:val="28"/>
          <w:lang w:val="en-US" w:eastAsia="zh-CN"/>
        </w:rPr>
        <w:t>,</w:t>
      </w:r>
      <w:r>
        <w:rPr>
          <w:rFonts w:hint="eastAsia"/>
          <w:sz w:val="28"/>
          <w:szCs w:val="28"/>
        </w:rPr>
        <w:t>比上年增加0万元，增长0%。主要原因是：本年度未安排</w:t>
      </w:r>
      <w:r>
        <w:rPr>
          <w:rFonts w:hint="eastAsia"/>
          <w:sz w:val="28"/>
          <w:szCs w:val="28"/>
          <w:lang w:val="en-US" w:eastAsia="zh-CN"/>
        </w:rPr>
        <w:t>,</w:t>
      </w:r>
      <w:r>
        <w:rPr>
          <w:rFonts w:hint="eastAsia"/>
          <w:sz w:val="28"/>
          <w:szCs w:val="28"/>
        </w:rPr>
        <w:t>本单位无机关运行经费。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3.23万元，其中：政府采购货物支出2.0780万元、政府采购工程支出0万元、政府采购服务支出1.152万元。政府采购授予中小企业合同金额3.23万元，占政府采购支出总额的100%。其中：授予小微企业合同金额3.23万元，占政府采购支出总额的100%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sz w:val="28"/>
          <w:szCs w:val="28"/>
        </w:rPr>
      </w:pPr>
      <w:r>
        <w:rPr>
          <w:rFonts w:hint="eastAsia"/>
          <w:sz w:val="28"/>
          <w:szCs w:val="28"/>
        </w:rPr>
        <w:t>截至2021年12月31日，本单位共有房屋1100平方米，价值为146.8179万元，其中办公用房1100平方米，价值为146.8179万元；业务用房0平方米，价值为0万元；其他（不含构筑物）0平方米，价值为0万元。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1辆。其中，副部（省）级及以上领导用车0辆、主要领导干部用车0辆、机要通信用车0辆、应急保障用车0辆、执法执勤用车0辆、特种专业技术用车0辆、离退休干部用车0辆、其他用车1辆，价值10.8221万元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r>
        <w:rPr>
          <w:rFonts w:hint="eastAsia"/>
          <w:sz w:val="28"/>
          <w:szCs w:val="28"/>
        </w:rPr>
        <w:t>根据预算绩效管理要求，我单位组织对2021年度县级财政预算安排的专项资金类5个项目支出全面开展绩效自评，涉及预算资金12.1965万元，占一般公共预算项目支出总额的15.37%。组织对2021年度0个政府性基金预算项目支出开展绩效自评，共涉及预算资金0万元，占政府性基金预算项目支出总额的0%。</w:t>
      </w:r>
    </w:p>
    <w:p>
      <w:pPr>
        <w:spacing w:line="220" w:lineRule="atLeast"/>
        <w:ind w:firstLine="560" w:firstLineChars="200"/>
        <w:rPr>
          <w:sz w:val="28"/>
          <w:szCs w:val="28"/>
        </w:rPr>
      </w:pPr>
      <w:r>
        <w:rPr>
          <w:rFonts w:hint="eastAsia"/>
          <w:sz w:val="28"/>
          <w:szCs w:val="28"/>
        </w:rPr>
        <w:t>组织对“计划生育服务补助”“全县教师、学生结核病筛查”等5个项目开展了单位评价，涉及一般公共预算支出12.1965万元，政府性基金预算支出0万元。对“计划生育服务补助”“全县教师、学生结核病筛查”等5个项目分别未委托第三方机构开展绩效评价。从评价情况来看，未委托第三方机构开展绩效评价。</w:t>
      </w:r>
    </w:p>
    <w:p>
      <w:pPr>
        <w:spacing w:line="220" w:lineRule="atLeast"/>
        <w:ind w:firstLine="560" w:firstLineChars="200"/>
        <w:rPr>
          <w:rFonts w:hint="eastAsia"/>
          <w:sz w:val="28"/>
          <w:szCs w:val="28"/>
        </w:rPr>
      </w:pPr>
      <w:r>
        <w:rPr>
          <w:rFonts w:hint="eastAsia"/>
          <w:sz w:val="28"/>
          <w:szCs w:val="28"/>
        </w:rPr>
        <w:t>组织对“平顺县虹梯关乡卫生院”等1个单位开展整体绩效评价试点，涉及一般公共预算支出0万元，政府性基金预算支出0万元。其中，对平顺县虹梯关乡卫生院”等单位整体绩效评价未委托第三方机构实施。从评价情况来看，未委托第三方机构实施绩效评价。</w:t>
      </w:r>
    </w:p>
    <w:p>
      <w:pPr>
        <w:spacing w:line="220" w:lineRule="atLeast"/>
        <w:ind w:firstLine="560" w:firstLineChars="200"/>
        <w:rPr>
          <w:rFonts w:hint="eastAsia"/>
          <w:sz w:val="28"/>
          <w:szCs w:val="28"/>
        </w:rPr>
      </w:pPr>
      <w:r>
        <w:rPr>
          <w:rFonts w:hint="eastAsia"/>
          <w:b/>
          <w:sz w:val="28"/>
          <w:szCs w:val="28"/>
        </w:rPr>
        <w:t>（2）部门项目绩效自评结果。</w:t>
      </w: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基层卫生室药品零利率项目绩效自评综述：根据年初设定的绩效目标，项目自评得分为100分。全年预算数为2.5万元，执行数为2.5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全县教师、学生结核病筛查项目绩效自评综述：根据年初设定的绩效目标，项目自评得分为100分。全年预算数为0.0665万元，执行数为0.0665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420" w:firstLineChars="15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ascii="微软雅黑" w:hAnsi="微软雅黑"/>
          <w:b/>
          <w:sz w:val="28"/>
          <w:szCs w:val="28"/>
        </w:rPr>
        <w:t>培训费</w:t>
      </w:r>
      <w:r>
        <w:rPr>
          <w:rFonts w:hint="eastAsia" w:ascii="仿宋_GB2312" w:hAnsi="仿宋" w:eastAsia="仿宋_GB2312"/>
          <w:b/>
          <w:sz w:val="32"/>
          <w:szCs w:val="32"/>
        </w:rPr>
        <w:t>：</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人次。主要为培训</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fixed"/>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年初预算0.47万元，支出决算0.47万元，完成年初预算的100%，比上年增加-0.0365万元，增长-7.2%，原因是本年度由于疫情开会次数减少</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9</w:t>
      </w:r>
      <w:r>
        <w:rPr>
          <w:rFonts w:ascii="微软雅黑" w:hAnsi="微软雅黑"/>
          <w:sz w:val="28"/>
          <w:szCs w:val="28"/>
        </w:rPr>
        <w:t>个，参加会议</w:t>
      </w:r>
      <w:r>
        <w:rPr>
          <w:rFonts w:hint="eastAsia" w:ascii="微软雅黑" w:hAnsi="微软雅黑"/>
          <w:sz w:val="28"/>
          <w:szCs w:val="28"/>
        </w:rPr>
        <w:t>162</w:t>
      </w:r>
      <w:r>
        <w:rPr>
          <w:rFonts w:ascii="微软雅黑" w:hAnsi="微软雅黑"/>
          <w:sz w:val="28"/>
          <w:szCs w:val="28"/>
        </w:rPr>
        <w:t>人次。主要为召开</w:t>
      </w:r>
      <w:r>
        <w:rPr>
          <w:rFonts w:hint="eastAsia" w:ascii="微软雅黑" w:hAnsi="微软雅黑"/>
          <w:sz w:val="28"/>
          <w:szCs w:val="28"/>
        </w:rPr>
        <w:t>基本公共卫生服务乡村医生会议</w:t>
      </w:r>
      <w:r>
        <w:rPr>
          <w:rFonts w:ascii="微软雅黑" w:hAnsi="微软雅黑"/>
          <w:sz w:val="28"/>
          <w:szCs w:val="28"/>
        </w:rPr>
        <w:t>。</w:t>
      </w:r>
    </w:p>
    <w:tbl>
      <w:tblPr>
        <w:tblStyle w:val="4"/>
        <w:tblW w:w="8664" w:type="dxa"/>
        <w:tblInd w:w="91" w:type="dxa"/>
        <w:tblLayout w:type="fixed"/>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0.47</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0.47</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0.5065</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-0.0365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-7.2</w:t>
            </w:r>
          </w:p>
        </w:tc>
      </w:tr>
    </w:tbl>
    <w:p>
      <w:pPr>
        <w:ind w:firstLine="636"/>
        <w:rPr>
          <w:rFonts w:ascii="仿宋_GB2312" w:hAnsi="仿宋" w:eastAsia="仿宋_GB2312"/>
          <w:sz w:val="32"/>
          <w:szCs w:val="32"/>
        </w:rPr>
      </w:pPr>
    </w:p>
    <w:p>
      <w:pPr>
        <w:spacing w:line="220" w:lineRule="atLeast"/>
        <w:ind w:firstLine="482" w:firstLineChars="150"/>
        <w:rPr>
          <w:rFonts w:ascii="微软雅黑" w:hAnsi="微软雅黑"/>
          <w:b/>
          <w:sz w:val="28"/>
          <w:szCs w:val="28"/>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0" w:firstLineChars="200"/>
        <w:rPr>
          <w:rFonts w:ascii="仿宋_GB2312" w:hAnsi="仿宋" w:eastAsia="仿宋_GB2312"/>
          <w:sz w:val="32"/>
          <w:szCs w:val="32"/>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rFonts w:hint="eastAsia"/>
          <w:b/>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bookmarkStart w:id="0" w:name="_GoBack"/>
      <w:bookmarkEnd w:id="0"/>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OWM2ZDEzZWY3MTY3OTAwMTU1MTdlZmE4OTk1NGYifQ=="/>
  </w:docVars>
  <w:rsids>
    <w:rsidRoot w:val="00D31D50"/>
    <w:rsid w:val="000034DB"/>
    <w:rsid w:val="00015092"/>
    <w:rsid w:val="0005715E"/>
    <w:rsid w:val="00065A92"/>
    <w:rsid w:val="000A5B5D"/>
    <w:rsid w:val="000B4C5F"/>
    <w:rsid w:val="000B6182"/>
    <w:rsid w:val="000C4302"/>
    <w:rsid w:val="000D30E1"/>
    <w:rsid w:val="00112EF7"/>
    <w:rsid w:val="001151FD"/>
    <w:rsid w:val="00116783"/>
    <w:rsid w:val="00130F93"/>
    <w:rsid w:val="00137AEF"/>
    <w:rsid w:val="0014259E"/>
    <w:rsid w:val="00150E25"/>
    <w:rsid w:val="001625CD"/>
    <w:rsid w:val="00180459"/>
    <w:rsid w:val="00182E6D"/>
    <w:rsid w:val="001A555A"/>
    <w:rsid w:val="001B4B3F"/>
    <w:rsid w:val="001D282C"/>
    <w:rsid w:val="001F6417"/>
    <w:rsid w:val="0022359D"/>
    <w:rsid w:val="00234B1B"/>
    <w:rsid w:val="00250955"/>
    <w:rsid w:val="00257132"/>
    <w:rsid w:val="00261980"/>
    <w:rsid w:val="00277777"/>
    <w:rsid w:val="00280E08"/>
    <w:rsid w:val="002B5A91"/>
    <w:rsid w:val="002C1613"/>
    <w:rsid w:val="00323B43"/>
    <w:rsid w:val="0032692D"/>
    <w:rsid w:val="00331879"/>
    <w:rsid w:val="00345A54"/>
    <w:rsid w:val="00346E9C"/>
    <w:rsid w:val="0034710F"/>
    <w:rsid w:val="003567F3"/>
    <w:rsid w:val="00375439"/>
    <w:rsid w:val="0038681C"/>
    <w:rsid w:val="00391C06"/>
    <w:rsid w:val="003A3622"/>
    <w:rsid w:val="003B55EA"/>
    <w:rsid w:val="003B706B"/>
    <w:rsid w:val="003C3681"/>
    <w:rsid w:val="003D37D8"/>
    <w:rsid w:val="003D480B"/>
    <w:rsid w:val="003E27ED"/>
    <w:rsid w:val="003F3218"/>
    <w:rsid w:val="00402CD9"/>
    <w:rsid w:val="004129E8"/>
    <w:rsid w:val="00413DEB"/>
    <w:rsid w:val="004207FB"/>
    <w:rsid w:val="00424FEA"/>
    <w:rsid w:val="00426133"/>
    <w:rsid w:val="004358AB"/>
    <w:rsid w:val="004474A0"/>
    <w:rsid w:val="00474F3A"/>
    <w:rsid w:val="00481E35"/>
    <w:rsid w:val="00481E91"/>
    <w:rsid w:val="004B1117"/>
    <w:rsid w:val="004B2FD8"/>
    <w:rsid w:val="004F2386"/>
    <w:rsid w:val="004F3BD3"/>
    <w:rsid w:val="00534286"/>
    <w:rsid w:val="00586AAF"/>
    <w:rsid w:val="00587E89"/>
    <w:rsid w:val="005D49F3"/>
    <w:rsid w:val="005E4446"/>
    <w:rsid w:val="005F5CEF"/>
    <w:rsid w:val="005F7A3E"/>
    <w:rsid w:val="0060630C"/>
    <w:rsid w:val="006138A3"/>
    <w:rsid w:val="00626F0F"/>
    <w:rsid w:val="00632EB9"/>
    <w:rsid w:val="00642893"/>
    <w:rsid w:val="006771DA"/>
    <w:rsid w:val="006B5051"/>
    <w:rsid w:val="006C6B8A"/>
    <w:rsid w:val="006D0DEB"/>
    <w:rsid w:val="006D1676"/>
    <w:rsid w:val="006D1A65"/>
    <w:rsid w:val="006D641F"/>
    <w:rsid w:val="00704A94"/>
    <w:rsid w:val="00704B40"/>
    <w:rsid w:val="007144CD"/>
    <w:rsid w:val="007313E8"/>
    <w:rsid w:val="00757151"/>
    <w:rsid w:val="00760958"/>
    <w:rsid w:val="00773998"/>
    <w:rsid w:val="007816A0"/>
    <w:rsid w:val="007917B1"/>
    <w:rsid w:val="007A3408"/>
    <w:rsid w:val="007C53C5"/>
    <w:rsid w:val="007D5BFD"/>
    <w:rsid w:val="007E6E58"/>
    <w:rsid w:val="00802B59"/>
    <w:rsid w:val="008536B8"/>
    <w:rsid w:val="008563AB"/>
    <w:rsid w:val="00857C8B"/>
    <w:rsid w:val="008719F7"/>
    <w:rsid w:val="008806F0"/>
    <w:rsid w:val="00886BEC"/>
    <w:rsid w:val="00890813"/>
    <w:rsid w:val="008B7726"/>
    <w:rsid w:val="008C2BF6"/>
    <w:rsid w:val="008C3D62"/>
    <w:rsid w:val="008C4AC1"/>
    <w:rsid w:val="008D288F"/>
    <w:rsid w:val="008E7165"/>
    <w:rsid w:val="008F19A4"/>
    <w:rsid w:val="008F27AF"/>
    <w:rsid w:val="00907746"/>
    <w:rsid w:val="00914AA8"/>
    <w:rsid w:val="0092060B"/>
    <w:rsid w:val="00922A35"/>
    <w:rsid w:val="009308A6"/>
    <w:rsid w:val="00943B0A"/>
    <w:rsid w:val="0096078A"/>
    <w:rsid w:val="009669AE"/>
    <w:rsid w:val="0097038A"/>
    <w:rsid w:val="009A533E"/>
    <w:rsid w:val="009A5671"/>
    <w:rsid w:val="009A6452"/>
    <w:rsid w:val="009C4F82"/>
    <w:rsid w:val="009D6C64"/>
    <w:rsid w:val="009E2CFB"/>
    <w:rsid w:val="00A46367"/>
    <w:rsid w:val="00A61FAF"/>
    <w:rsid w:val="00A73E29"/>
    <w:rsid w:val="00A76713"/>
    <w:rsid w:val="00A86E94"/>
    <w:rsid w:val="00AD7358"/>
    <w:rsid w:val="00AD7C68"/>
    <w:rsid w:val="00AD7F7B"/>
    <w:rsid w:val="00AE1E0B"/>
    <w:rsid w:val="00AF1714"/>
    <w:rsid w:val="00AF73B7"/>
    <w:rsid w:val="00B05C60"/>
    <w:rsid w:val="00B11481"/>
    <w:rsid w:val="00B24AE1"/>
    <w:rsid w:val="00B5253D"/>
    <w:rsid w:val="00B81AA3"/>
    <w:rsid w:val="00B87AD6"/>
    <w:rsid w:val="00B945EF"/>
    <w:rsid w:val="00B96867"/>
    <w:rsid w:val="00B969B8"/>
    <w:rsid w:val="00BD3FF2"/>
    <w:rsid w:val="00BE7EBF"/>
    <w:rsid w:val="00C03799"/>
    <w:rsid w:val="00C11733"/>
    <w:rsid w:val="00C12E0D"/>
    <w:rsid w:val="00C3223F"/>
    <w:rsid w:val="00C3277B"/>
    <w:rsid w:val="00C440E2"/>
    <w:rsid w:val="00C46175"/>
    <w:rsid w:val="00C52272"/>
    <w:rsid w:val="00C54FC0"/>
    <w:rsid w:val="00C858AD"/>
    <w:rsid w:val="00C85A8F"/>
    <w:rsid w:val="00C91A57"/>
    <w:rsid w:val="00CA1335"/>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A31A2"/>
    <w:rsid w:val="00DB2286"/>
    <w:rsid w:val="00DC2F17"/>
    <w:rsid w:val="00DC4049"/>
    <w:rsid w:val="00DF7E48"/>
    <w:rsid w:val="00E173C3"/>
    <w:rsid w:val="00E2388E"/>
    <w:rsid w:val="00E34FA3"/>
    <w:rsid w:val="00E72552"/>
    <w:rsid w:val="00E751B6"/>
    <w:rsid w:val="00E75761"/>
    <w:rsid w:val="00E92F6D"/>
    <w:rsid w:val="00EB1520"/>
    <w:rsid w:val="00EC3B89"/>
    <w:rsid w:val="00EC6A3F"/>
    <w:rsid w:val="00EF6880"/>
    <w:rsid w:val="00F03A02"/>
    <w:rsid w:val="00F30906"/>
    <w:rsid w:val="00F3245B"/>
    <w:rsid w:val="00F41066"/>
    <w:rsid w:val="00F646A3"/>
    <w:rsid w:val="00F90000"/>
    <w:rsid w:val="00FA0D4A"/>
    <w:rsid w:val="00FA3F9F"/>
    <w:rsid w:val="00FB4ED0"/>
    <w:rsid w:val="00FC472E"/>
    <w:rsid w:val="00FC523D"/>
    <w:rsid w:val="00FD26CE"/>
    <w:rsid w:val="00FE3D82"/>
    <w:rsid w:val="00FE6260"/>
    <w:rsid w:val="00FF39E1"/>
    <w:rsid w:val="00FF597A"/>
    <w:rsid w:val="00FF740D"/>
    <w:rsid w:val="01E1444D"/>
    <w:rsid w:val="036E4E16"/>
    <w:rsid w:val="03ED0EAE"/>
    <w:rsid w:val="05C83382"/>
    <w:rsid w:val="06C159CA"/>
    <w:rsid w:val="07482756"/>
    <w:rsid w:val="0A1D2022"/>
    <w:rsid w:val="0B6A5D61"/>
    <w:rsid w:val="0BC71F95"/>
    <w:rsid w:val="0BCD508C"/>
    <w:rsid w:val="0DDA1988"/>
    <w:rsid w:val="0E26200E"/>
    <w:rsid w:val="122B0F08"/>
    <w:rsid w:val="14522CB8"/>
    <w:rsid w:val="1494129E"/>
    <w:rsid w:val="15533E38"/>
    <w:rsid w:val="16196B8E"/>
    <w:rsid w:val="175956CC"/>
    <w:rsid w:val="177922F0"/>
    <w:rsid w:val="18296455"/>
    <w:rsid w:val="1AA23A2C"/>
    <w:rsid w:val="1C5526BE"/>
    <w:rsid w:val="1DA20E67"/>
    <w:rsid w:val="1DC56C9C"/>
    <w:rsid w:val="1E7076A2"/>
    <w:rsid w:val="1ECA4F25"/>
    <w:rsid w:val="26481C45"/>
    <w:rsid w:val="27327AA7"/>
    <w:rsid w:val="27532138"/>
    <w:rsid w:val="27F76F67"/>
    <w:rsid w:val="28761446"/>
    <w:rsid w:val="289D0479"/>
    <w:rsid w:val="2A7A79DB"/>
    <w:rsid w:val="2C70238C"/>
    <w:rsid w:val="2DD8204D"/>
    <w:rsid w:val="2F6A6DFF"/>
    <w:rsid w:val="30F12A86"/>
    <w:rsid w:val="3367770C"/>
    <w:rsid w:val="34BA1A48"/>
    <w:rsid w:val="37DE64A5"/>
    <w:rsid w:val="39441AD4"/>
    <w:rsid w:val="3B157ECC"/>
    <w:rsid w:val="3BF1422C"/>
    <w:rsid w:val="3C783C5E"/>
    <w:rsid w:val="3CFA188B"/>
    <w:rsid w:val="3DB17760"/>
    <w:rsid w:val="3EA3055E"/>
    <w:rsid w:val="412D76CA"/>
    <w:rsid w:val="436E742C"/>
    <w:rsid w:val="45B66FD5"/>
    <w:rsid w:val="48B82101"/>
    <w:rsid w:val="4A311504"/>
    <w:rsid w:val="4A4407AB"/>
    <w:rsid w:val="4B072BEF"/>
    <w:rsid w:val="4B446EB6"/>
    <w:rsid w:val="4C83676C"/>
    <w:rsid w:val="4C8D478A"/>
    <w:rsid w:val="4D701316"/>
    <w:rsid w:val="4EC825BC"/>
    <w:rsid w:val="537B0316"/>
    <w:rsid w:val="53F10D8E"/>
    <w:rsid w:val="549D6D56"/>
    <w:rsid w:val="54E532AA"/>
    <w:rsid w:val="550306E4"/>
    <w:rsid w:val="55C6790F"/>
    <w:rsid w:val="57630B6C"/>
    <w:rsid w:val="5A54503D"/>
    <w:rsid w:val="5CE92A4E"/>
    <w:rsid w:val="5F8D1371"/>
    <w:rsid w:val="609F1DFF"/>
    <w:rsid w:val="61BE4482"/>
    <w:rsid w:val="63092884"/>
    <w:rsid w:val="63E63410"/>
    <w:rsid w:val="640F36AF"/>
    <w:rsid w:val="650A312E"/>
    <w:rsid w:val="690066FF"/>
    <w:rsid w:val="69886D18"/>
    <w:rsid w:val="69D16AF2"/>
    <w:rsid w:val="6BC02DFB"/>
    <w:rsid w:val="6C2F3CC5"/>
    <w:rsid w:val="744F0CEB"/>
    <w:rsid w:val="75E27E81"/>
    <w:rsid w:val="78CB6182"/>
    <w:rsid w:val="78EF4C1B"/>
    <w:rsid w:val="795E1371"/>
    <w:rsid w:val="7A5D5287"/>
    <w:rsid w:val="7A797097"/>
    <w:rsid w:val="7C372603"/>
    <w:rsid w:val="7C8A651D"/>
    <w:rsid w:val="7DD906F7"/>
    <w:rsid w:val="7EC65EC0"/>
    <w:rsid w:val="7F0A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E095E9-8C26-4674-8AC3-16995C2142F2}">
  <ds:schemaRefs/>
</ds:datastoreItem>
</file>

<file path=docProps/app.xml><?xml version="1.0" encoding="utf-8"?>
<Properties xmlns="http://schemas.openxmlformats.org/officeDocument/2006/extended-properties" xmlns:vt="http://schemas.openxmlformats.org/officeDocument/2006/docPropsVTypes">
  <Template>Normal</Template>
  <Pages>17</Pages>
  <Words>8499</Words>
  <Characters>9243</Characters>
  <Lines>70</Lines>
  <Paragraphs>19</Paragraphs>
  <TotalTime>142</TotalTime>
  <ScaleCrop>false</ScaleCrop>
  <LinksUpToDate>false</LinksUpToDate>
  <CharactersWithSpaces>9350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2023-05-12T06:53:20Z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88A19E7A501342A484A6858A569C149C_13</vt:lpwstr>
  </property>
</Properties>
</file>