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ascii="黑体" w:hAnsi="黑体" w:eastAsia="黑体" w:cs="黑体"/>
          <w:color w:val="000000" w:themeColor="text1"/>
        </w:rPr>
      </w:pPr>
      <w:r>
        <w:rPr>
          <w:rFonts w:hint="eastAsia" w:ascii="黑体" w:hAnsi="黑体" w:eastAsia="黑体" w:cs="黑体"/>
          <w:color w:val="000000" w:themeColor="text1"/>
        </w:rPr>
        <w:t>附件</w:t>
      </w:r>
    </w:p>
    <w:p>
      <w:pPr>
        <w:spacing w:line="220" w:lineRule="atLeast"/>
        <w:jc w:val="center"/>
        <w:rPr>
          <w:rFonts w:ascii="黑体" w:hAnsi="黑体" w:eastAsia="黑体" w:cs="黑体"/>
          <w:color w:val="000000" w:themeColor="text1"/>
          <w:sz w:val="36"/>
          <w:szCs w:val="36"/>
        </w:rPr>
      </w:pPr>
      <w:r>
        <w:rPr>
          <w:rFonts w:hint="eastAsia" w:ascii="黑体" w:hAnsi="黑体" w:eastAsia="黑体" w:cs="黑体"/>
          <w:b/>
          <w:color w:val="000000" w:themeColor="text1"/>
          <w:sz w:val="36"/>
          <w:szCs w:val="36"/>
        </w:rPr>
        <w:t>301001平顺县文化和旅游局2021年度单位决算公开</w:t>
      </w:r>
    </w:p>
    <w:p>
      <w:pPr>
        <w:spacing w:line="220" w:lineRule="atLeast"/>
        <w:jc w:val="center"/>
        <w:rPr>
          <w:rFonts w:ascii="黑体" w:hAnsi="黑体" w:eastAsia="黑体" w:cs="黑体"/>
          <w:b/>
          <w:color w:val="000000" w:themeColor="text1"/>
        </w:rPr>
      </w:pPr>
      <w:r>
        <w:rPr>
          <w:rFonts w:hint="eastAsia" w:ascii="黑体" w:hAnsi="黑体" w:eastAsia="黑体" w:cs="黑体"/>
          <w:b/>
          <w:color w:val="000000" w:themeColor="text1"/>
        </w:rPr>
        <w:t>目      录</w:t>
      </w:r>
    </w:p>
    <w:p>
      <w:pPr>
        <w:spacing w:line="220" w:lineRule="atLeast"/>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第一部分    概况</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一、本单位职责</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二、机构设置情况</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三、年度工作计划及执行情况</w:t>
      </w:r>
    </w:p>
    <w:p>
      <w:pPr>
        <w:spacing w:line="220" w:lineRule="atLeast"/>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第二部分    2021年度单位决算报表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一、收入支出决算总表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二、收入决算表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三、支出决算表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四、财政拨款收入支出决算总表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五、一般公共预算财政拨款支出决算表（一）</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六、一般公共预算财政拨款支出决算表（二）</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七、一般公共预算财政拨款“三公”经费支出决算表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八、政府性基金预算财政拨款收入支出决算表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九、国有资本经营预算财政拨款支出决算表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十、单位决算公开相关信息统计表</w:t>
      </w:r>
    </w:p>
    <w:p>
      <w:pPr>
        <w:spacing w:line="220" w:lineRule="atLeast"/>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第三部分   2021年度单位决算情况说明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一、收入支出决算总体情况说明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二、收入决算情况说明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三、支出决算情况说明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四、财政拨款收入支出决算总体情况说明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五、一般公共预算财政拨款支出决算情况说明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六、一般公共预算财政拨款基本支出决算情况说明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七、一般公共预算财政拨款“三公”经费支出决算情况说明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八、其他重要事项情况说明</w:t>
      </w:r>
    </w:p>
    <w:p>
      <w:pPr>
        <w:spacing w:line="220" w:lineRule="atLeast"/>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第四部分    名词解释</w:t>
      </w:r>
    </w:p>
    <w:p>
      <w:pPr>
        <w:spacing w:line="220" w:lineRule="atLeast"/>
        <w:rPr>
          <w:b/>
          <w:sz w:val="28"/>
          <w:szCs w:val="28"/>
        </w:rPr>
      </w:pPr>
      <w:r>
        <w:rPr>
          <w:rFonts w:hint="eastAsia" w:ascii="黑体" w:hAnsi="黑体" w:eastAsia="黑体" w:cs="黑体"/>
          <w:b/>
          <w:color w:val="000000" w:themeColor="text1"/>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pStyle w:val="2"/>
      </w:pPr>
    </w:p>
    <w:p/>
    <w:p>
      <w:pPr>
        <w:pStyle w:val="2"/>
      </w:pPr>
    </w:p>
    <w:p/>
    <w:p>
      <w:pPr>
        <w:pStyle w:val="2"/>
      </w:pPr>
    </w:p>
    <w:p/>
    <w:p>
      <w:pPr>
        <w:pStyle w:val="2"/>
      </w:pPr>
    </w:p>
    <w:p/>
    <w:p>
      <w:pPr>
        <w:shd w:val="clear" w:color="auto" w:fill="FFFFFF"/>
        <w:adjustRightInd/>
        <w:snapToGrid/>
        <w:spacing w:after="0" w:line="520" w:lineRule="exact"/>
        <w:rPr>
          <w:rFonts w:ascii="黑体" w:hAnsi="黑体" w:eastAsia="黑体"/>
          <w:b/>
          <w:kern w:val="2"/>
          <w:sz w:val="32"/>
          <w:szCs w:val="32"/>
        </w:rPr>
      </w:pPr>
      <w:r>
        <w:rPr>
          <w:rFonts w:hint="eastAsia" w:ascii="黑体" w:hAnsi="黑体" w:eastAsia="黑体"/>
          <w:b/>
          <w:kern w:val="2"/>
          <w:sz w:val="32"/>
          <w:szCs w:val="32"/>
        </w:rPr>
        <w:t>第一部分概况</w:t>
      </w:r>
    </w:p>
    <w:p>
      <w:pPr>
        <w:widowControl w:val="0"/>
        <w:adjustRightInd/>
        <w:snapToGrid/>
        <w:spacing w:after="0" w:line="520" w:lineRule="exact"/>
        <w:ind w:left="638"/>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一、本单位职责</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zh-CN"/>
        </w:rPr>
        <w:t>主要职责是贯彻落实党中央和省、市、县关于文化、文物、旅游工作的方针政策和部署，坚持和加强党对文化艺术、旅游发展、文物保护、广播电视的统一领导。</w:t>
      </w:r>
    </w:p>
    <w:p>
      <w:pPr>
        <w:widowControl w:val="0"/>
        <w:adjustRightInd/>
        <w:snapToGrid/>
        <w:spacing w:after="0" w:line="520" w:lineRule="exact"/>
        <w:ind w:left="638"/>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二、机构设置情况</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val="zh-CN"/>
        </w:rPr>
        <w:t>根据单位职责分工，本单位内设机构包括综合办公室、文化股、旅游股、文物股。本单位无下属单位。</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rPr>
        <w:t>2.从决算单位构成看，纳入平顺县文旅局2021年单位决算编制范围的预算单位共计1家，具体包括：平顺县文化和旅游局(本级)。</w:t>
      </w:r>
    </w:p>
    <w:p>
      <w:pPr>
        <w:widowControl w:val="0"/>
        <w:adjustRightInd/>
        <w:snapToGrid/>
        <w:spacing w:after="0" w:line="520" w:lineRule="exact"/>
        <w:ind w:left="641"/>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三、年度工作计划及执行情况</w:t>
      </w:r>
    </w:p>
    <w:p>
      <w:pPr>
        <w:shd w:val="clear" w:color="auto" w:fill="FFFFFF"/>
        <w:adjustRightInd/>
        <w:snapToGrid/>
        <w:spacing w:after="0" w:line="520" w:lineRule="exact"/>
        <w:rPr>
          <w:rFonts w:ascii="仿宋_GB2312" w:hAnsi="仿宋_GB2312" w:eastAsia="仿宋_GB2312" w:cs="仿宋_GB2312"/>
          <w:kern w:val="2"/>
          <w:sz w:val="32"/>
          <w:szCs w:val="32"/>
        </w:rPr>
      </w:pPr>
      <w:r>
        <w:rPr>
          <w:rFonts w:hint="eastAsia" w:ascii="仿宋_GB2312" w:hAnsi="楷体" w:eastAsia="仿宋_GB2312"/>
          <w:sz w:val="28"/>
          <w:szCs w:val="28"/>
        </w:rPr>
        <w:t xml:space="preserve">   </w:t>
      </w:r>
      <w:r>
        <w:rPr>
          <w:rFonts w:hint="eastAsia" w:ascii="仿宋_GB2312" w:hAnsi="楷体" w:eastAsia="仿宋_GB2312"/>
          <w:color w:val="000000" w:themeColor="text1"/>
          <w:sz w:val="32"/>
          <w:szCs w:val="32"/>
        </w:rPr>
        <w:t xml:space="preserve"> </w:t>
      </w:r>
      <w:r>
        <w:rPr>
          <w:rFonts w:hint="eastAsia" w:ascii="仿宋_GB2312" w:hAnsi="仿宋_GB2312" w:eastAsia="仿宋_GB2312" w:cs="仿宋_GB2312"/>
          <w:kern w:val="2"/>
          <w:sz w:val="32"/>
          <w:szCs w:val="32"/>
        </w:rPr>
        <w:t>当年工作计划取得的事业成效：</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截止2021年底，全县游客接待量369.56万人次，同比增长2%；旅游综合收入28.19亿元，同比增长3%。</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val="zh-CN"/>
        </w:rPr>
        <w:t>突出改革创新，</w:t>
      </w:r>
      <w:r>
        <w:rPr>
          <w:rFonts w:hint="eastAsia" w:ascii="仿宋_GB2312" w:hAnsi="仿宋_GB2312" w:eastAsia="仿宋_GB2312" w:cs="仿宋_GB2312"/>
          <w:kern w:val="2"/>
          <w:sz w:val="32"/>
          <w:szCs w:val="32"/>
        </w:rPr>
        <w:t>全力创建国家全域旅游示范区。</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val="zh-CN"/>
        </w:rPr>
        <w:t>突出项目建设，推动文旅产业转型发展。</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val="zh-CN"/>
        </w:rPr>
        <w:t>突出宣传推介，拓宽文旅品牌推广途径。</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rPr>
        <w:t>4.</w:t>
      </w:r>
      <w:r>
        <w:rPr>
          <w:rFonts w:hint="eastAsia" w:ascii="仿宋_GB2312" w:hAnsi="仿宋_GB2312" w:eastAsia="仿宋_GB2312" w:cs="仿宋_GB2312"/>
          <w:kern w:val="2"/>
          <w:sz w:val="32"/>
          <w:szCs w:val="32"/>
          <w:lang w:val="zh-CN"/>
        </w:rPr>
        <w:t>突出基础提升，推进文旅产业全面发展。</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rPr>
        <w:t>5.</w:t>
      </w:r>
      <w:r>
        <w:rPr>
          <w:rFonts w:hint="eastAsia" w:ascii="仿宋_GB2312" w:hAnsi="仿宋_GB2312" w:eastAsia="仿宋_GB2312" w:cs="仿宋_GB2312"/>
          <w:kern w:val="2"/>
          <w:sz w:val="32"/>
          <w:szCs w:val="32"/>
          <w:lang w:val="zh-CN"/>
        </w:rPr>
        <w:t>突出保护传承，促进文化遗产合理利用。</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6.突出应急处置，确保各景区安全顺利度过汛期。</w:t>
      </w:r>
    </w:p>
    <w:p>
      <w:pPr>
        <w:shd w:val="clear" w:color="auto" w:fill="FFFFFF"/>
        <w:adjustRightInd/>
        <w:snapToGrid/>
        <w:spacing w:after="0" w:line="520" w:lineRule="exact"/>
        <w:rPr>
          <w:rFonts w:ascii="黑体" w:hAnsi="黑体" w:eastAsia="黑体"/>
          <w:b/>
          <w:kern w:val="2"/>
          <w:sz w:val="32"/>
          <w:szCs w:val="32"/>
        </w:rPr>
      </w:pPr>
      <w:r>
        <w:rPr>
          <w:rFonts w:hint="eastAsia" w:ascii="黑体" w:hAnsi="黑体" w:eastAsia="黑体"/>
          <w:b/>
          <w:kern w:val="2"/>
          <w:sz w:val="32"/>
          <w:szCs w:val="32"/>
        </w:rPr>
        <w:t>第二部分 2021年度单位决算报表（见附表1）</w:t>
      </w:r>
    </w:p>
    <w:p>
      <w:pPr>
        <w:widowControl w:val="0"/>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一、收入支出决算总表</w:t>
      </w:r>
    </w:p>
    <w:p>
      <w:pPr>
        <w:widowControl w:val="0"/>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二、收入决算表</w:t>
      </w:r>
    </w:p>
    <w:p>
      <w:pPr>
        <w:widowControl w:val="0"/>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三、支出决算表</w:t>
      </w:r>
    </w:p>
    <w:p>
      <w:pPr>
        <w:widowControl w:val="0"/>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四、财政拨款收入支出决算总表</w:t>
      </w:r>
    </w:p>
    <w:p>
      <w:pPr>
        <w:widowControl w:val="0"/>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五、一般公共预算财政拨款支出决算表（一）</w:t>
      </w:r>
    </w:p>
    <w:p>
      <w:pPr>
        <w:widowControl w:val="0"/>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六、一般公共预算财政拨款支出决算表（二）</w:t>
      </w:r>
    </w:p>
    <w:p>
      <w:pPr>
        <w:widowControl w:val="0"/>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七、一般公共预算财政拨款“三公”经费支出决算表</w:t>
      </w:r>
    </w:p>
    <w:p>
      <w:pPr>
        <w:widowControl w:val="0"/>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八、政府性基金预算财政拨款收入支出决算表</w:t>
      </w:r>
    </w:p>
    <w:p>
      <w:pPr>
        <w:widowControl w:val="0"/>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九、国有资本经营预算财政拨款支出决算表</w:t>
      </w:r>
    </w:p>
    <w:p>
      <w:pPr>
        <w:widowControl w:val="0"/>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十、单位决算公开相关信息统计表</w:t>
      </w:r>
    </w:p>
    <w:p>
      <w:pPr>
        <w:shd w:val="clear" w:color="auto" w:fill="FFFFFF"/>
        <w:adjustRightInd/>
        <w:snapToGrid/>
        <w:spacing w:after="0" w:line="520" w:lineRule="exact"/>
        <w:rPr>
          <w:rFonts w:ascii="黑体" w:hAnsi="黑体" w:eastAsia="黑体"/>
          <w:b/>
          <w:kern w:val="2"/>
          <w:sz w:val="32"/>
          <w:szCs w:val="32"/>
        </w:rPr>
      </w:pPr>
      <w:r>
        <w:rPr>
          <w:rFonts w:hint="eastAsia" w:ascii="黑体" w:hAnsi="黑体" w:eastAsia="黑体"/>
          <w:b/>
          <w:kern w:val="2"/>
          <w:sz w:val="32"/>
          <w:szCs w:val="32"/>
        </w:rPr>
        <w:t>第三部分 2021年度单位决算情况说明</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一、收入支出决算总体情况说明</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度收入总计2404.75万元、支出总计2824.79万元。与上年相比，收入总计增加-618.56万元，增加-20.46%，支出总计增加-1605.22万元，增加-36.24%。主要原因是财政为盘活资金，收回本年度内没有支付财政拨付资金；加快资金支付进度，往来集中管理账户资金支付及时，年底结转资金减少。</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二、收入决算情况说明</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度收入合计2404.75万元，其中：财政拨款收入2399.65万元，占比99.79%；上级补助收入0万元，占比0%；事业收入0万元，占比0%；经营收入0万元，占比0%；附属单位上缴收入0万元，占比0%；其他收入5.10万元，占比0.21%。</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三、支出决算情况说明</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2021年度支出合计2824.79万元，其中：基本支出203.62万元，占比7.21%；项目支出2621.17万元，占比92.79%；上缴上级支出0万元，占比0%，经营支出0万元，占比0%， 对附属单位补助支出0万元，占比0%。</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四、财政拨款收入支出决算总体情况说明</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度财政拨款收入总计2399.65万元、支出总计2817.77万元。与上年相比，财政拨款收入总计增加-314.41万元，增加-11.58%，财政拨款支出总计增加-1178.05万元，增加-29.48%。主要原因是财政拨款减少，厉行节约，同时上年度剩余有结余资金。</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五、一般公共预算财政拨款支出决算情况说明</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（一）财政拨款支出决算总体情况</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2021年度财政拨款支出2799.94万元，占本年支出合计的99.12%。与上年相比，财政拨款支出增加-1061.87万元，增加-27.50%。主要原因是人员减少同时人头经费减少。其中，人员经费159.24万元，占比5.69%， 日常公用经费44.38万元，占比1.59%。</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color w:val="000000" w:themeColor="text1"/>
          <w:kern w:val="2"/>
          <w:sz w:val="32"/>
          <w:szCs w:val="32"/>
        </w:rPr>
        <w:t>（二）</w:t>
      </w:r>
      <w:r>
        <w:rPr>
          <w:rFonts w:hint="eastAsia" w:ascii="仿宋_GB2312" w:hAnsi="楷体" w:eastAsia="仿宋_GB2312"/>
          <w:b/>
          <w:kern w:val="2"/>
          <w:sz w:val="32"/>
          <w:szCs w:val="32"/>
        </w:rPr>
        <w:t>财政拨款支出决算结构情况</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2021年度财政拨款支出2799.94万元，主要用于以下方面：一般公共服务（类）支出36.75万元，占1.31%；文化旅游体育与传媒（类）支出2719.84万元，占97.14%；社会保障和就业（类）支出7.80万元， 占0.28%；卫生健康（类）支出7.07万元，占0.25%；农林水（类）支出14.60万元，占0.52%；住房保障（类）支出13.88万元，占0.50%。</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color w:val="000000" w:themeColor="text1"/>
          <w:kern w:val="2"/>
          <w:sz w:val="32"/>
          <w:szCs w:val="32"/>
        </w:rPr>
        <w:t>（三）</w:t>
      </w:r>
      <w:r>
        <w:rPr>
          <w:rFonts w:hint="eastAsia" w:ascii="仿宋_GB2312" w:hAnsi="楷体" w:eastAsia="仿宋_GB2312"/>
          <w:b/>
          <w:kern w:val="2"/>
          <w:sz w:val="32"/>
          <w:szCs w:val="32"/>
        </w:rPr>
        <w:t>财政拨款支出决算具体情况</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2021年度财政拨款支出年初预算1041.46万元，支出决算2799.94万元，完成年初预算的268.85%。其中：</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一般公共服务支出年初预算1.65万元，支出决算36.75万元完成年初预算的2227.27%，用于工会事务和其他宣传事务支出，较上年决算增加32.39万元，增长742.89%，主要原因是增加其他宣传事务支出的生活补助经费; 文化旅游体育与传媒支出年初预算1003.23万元，支出决算2719.84万元完成年初预算的271.11%，用于文化和旅游、文物、新闻出版电影和其他文化旅游体育与传媒支出，较上年决算增加-1857.55万元，增长-40.58%，主要原因减少专用设备购置和基础设施建设; 社会保障和就业支出年初预算16.47万元，支出决算7.80万元完成年初预算的47.36%，用于机关事业单位基本养老保险缴费支出，较上年决算增加-15.60万元，增长-66.67%，主要原因人员减少;卫生健康支出年初预算7.19万元，支出决算7.07万元完成年初预算的98.33%，用于行政事业单位医疗，较上年决算增加-4.64万元，增长-39.62%，主要原因人员减少; 农林水支出年初预算0万元，支出决算14.60万元完成年初预算的0%，用于其他扶贫支出，较上年决算增加14.60万元，增长0%，主要原因增加扶贫支出; 住房保障支出年初预算12.92万元，支出决算13.88万元完成年初预算的107.43%，用于住房公积金较上年决算增加-7.33万元，增长-3456%，主要原因人员减少。</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六、一般公共预算财政拨款基本支出决算情况说明</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2021年度财政拨款基本支出203.62万元，其中：人员经费159.24万元，主要包括工资和社保支出；公用经费44.38万元，主要包括日常办公费支出。</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七、一般公共预算财政拨款“三公”经费支出决算情况说明</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（一）“三公”经费财政拨款支出决算总体情况说明。</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2021年度“三公”经费财政拨款支出预算0万元，支出决算0万元，完成预算的0%，比上年增加0万元，增长0%，主要原因是：本单位无公务用车等相关业务经费支出。</w:t>
      </w:r>
    </w:p>
    <w:p>
      <w:pPr>
        <w:widowControl w:val="0"/>
        <w:numPr>
          <w:ilvl w:val="0"/>
          <w:numId w:val="1"/>
        </w:numPr>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“三公”经费财政拨款支出决算具体情况说明。</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（1）与预算数比较</w:t>
      </w:r>
    </w:p>
    <w:tbl>
      <w:tblPr>
        <w:tblStyle w:val="6"/>
        <w:tblW w:w="8381" w:type="dxa"/>
        <w:tblInd w:w="91" w:type="dxa"/>
        <w:tblLayout w:type="fixed"/>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2021三公经费明细</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预算数（万元）</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决算数（万元）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b/>
                <w:bCs/>
                <w:color w:val="000000"/>
              </w:rPr>
            </w:pPr>
            <w:r>
              <w:rPr>
                <w:rFonts w:hint="eastAsia" w:ascii="宋体" w:hAnsi="宋体" w:eastAsia="宋体" w:cs="宋体"/>
                <w:b/>
                <w:bCs/>
                <w:color w:val="000000"/>
              </w:rPr>
              <w:t>决算完成预算比例%</w:t>
            </w:r>
          </w:p>
        </w:tc>
      </w:tr>
      <w:tr>
        <w:tblPrEx>
          <w:tblCellMar>
            <w:top w:w="0" w:type="dxa"/>
            <w:left w:w="108" w:type="dxa"/>
            <w:bottom w:w="0" w:type="dxa"/>
            <w:right w:w="108" w:type="dxa"/>
          </w:tblCellMar>
        </w:tblPrEx>
        <w:trPr>
          <w:trHeight w:val="552"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rPr>
            </w:pPr>
            <w:r>
              <w:rPr>
                <w:rFonts w:hint="eastAsia" w:ascii="宋体" w:hAnsi="宋体" w:eastAsia="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rPr>
            </w:pPr>
            <w:r>
              <w:rPr>
                <w:rFonts w:hint="eastAsia" w:ascii="宋体" w:hAnsi="宋体" w:eastAsia="宋体" w:cs="宋体"/>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rPr>
            </w:pPr>
            <w:r>
              <w:rPr>
                <w:rFonts w:hint="eastAsia" w:ascii="宋体" w:hAnsi="宋体" w:eastAsia="宋体" w:cs="宋体"/>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rPr>
            </w:pPr>
            <w:r>
              <w:rPr>
                <w:rFonts w:hint="eastAsia" w:ascii="宋体" w:hAnsi="宋体" w:eastAsia="宋体" w:cs="宋体"/>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rPr>
            </w:pPr>
            <w:r>
              <w:rPr>
                <w:rFonts w:hint="eastAsia" w:ascii="宋体" w:hAnsi="宋体" w:eastAsia="宋体" w:cs="宋体"/>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rPr>
            </w:pPr>
            <w:r>
              <w:rPr>
                <w:rFonts w:hint="eastAsia" w:ascii="宋体" w:hAnsi="宋体" w:eastAsia="宋体" w:cs="宋体"/>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rPr>
            </w:pPr>
            <w:r>
              <w:rPr>
                <w:rFonts w:hint="eastAsia" w:ascii="宋体" w:hAnsi="宋体" w:eastAsia="宋体" w:cs="宋体"/>
                <w:color w:val="000000"/>
              </w:rPr>
              <w:t>0</w:t>
            </w:r>
          </w:p>
        </w:tc>
      </w:tr>
    </w:tbl>
    <w:p>
      <w:pPr>
        <w:rPr>
          <w:rFonts w:ascii="仿宋_GB2312" w:hAnsi="仿宋" w:eastAsia="仿宋_GB2312"/>
          <w:b/>
          <w:sz w:val="32"/>
          <w:szCs w:val="32"/>
        </w:rPr>
      </w:pPr>
    </w:p>
    <w:p>
      <w:pPr>
        <w:ind w:firstLine="643"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6"/>
        <w:tblW w:w="8431" w:type="dxa"/>
        <w:tblInd w:w="91" w:type="dxa"/>
        <w:tblLayout w:type="fixed"/>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vAlign w:val="center"/>
          </w:tcPr>
          <w:p>
            <w:pPr>
              <w:rPr>
                <w:rFonts w:ascii="宋体" w:hAnsi="宋体" w:cs="宋体"/>
                <w:b/>
                <w:bCs/>
                <w:color w:val="000000"/>
              </w:rPr>
            </w:pPr>
            <w:r>
              <w:rPr>
                <w:rFonts w:hint="eastAsia" w:ascii="宋体" w:hAnsi="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因公出国（境）费</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公务接待费</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一般公共预算安排的“三公”经费年初预算0万元，支出决算0万元，完成年初预算的0%，比上年增加0万元，增长0%。其中：因公出国（境）费用年初预算0万元，支出决算0万元，完成年初预算的0%，比上年增加0万元，增长0%，原因是我单位2021年度未发生因公出国（境）费用（全年使用一般公共预算拨款支出安排的出国（境）团组0个，累计0人次）；其中公务用车购置及运行维护费用年初预算0万元，支出决算0万元，完成年初预算的0%，比上年增加0万元，增长0%（具体：其中公务用车购置费年初预算0万元，支出决算0万元，完成年初预算的0%，比上年增加0万元，增长0%，原因是我单位2021年度未购置公务用车；公务用车运行维护费年初预算0万元，支出决算0万元，完成年初预算的0%，比上年增加0万元，增长0%，原因是我单位无公务车）；公务接待费年初预算0万元，支出决算0万元，完成年初预算的0%，比上年增加0万元，增长0%，原因是疫情原因我单位2021年度未发生公务接待费（全年年使用一般公共预算拨款开支的国内公务接待0批次，0人次。）</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八、其他重要事项情况说明</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（一）机关运行经费支出情况说明</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color w:val="000000" w:themeColor="text1"/>
          <w:kern w:val="2"/>
          <w:sz w:val="32"/>
          <w:szCs w:val="32"/>
        </w:rPr>
        <w:t>2021年机关运行经费支出44.38万元，比上年增加-57.48万元，增长-56.43%。主要原因是：工作经费减少，财政资金缩减。</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（二）政府采购情况说明</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度政府采购支出总额4万元，其中：政府采购货物支出4万元、政府采购工程支出0万元、政府采购服务支出0万元。政府采购授予中小企业合同金额0万元，占政府采购支出总额的0%。其中：授予小微企业合同金额0万元，占政府采购支出总额的0%。</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（三）国有资产占用情况说明</w:t>
      </w:r>
    </w:p>
    <w:p>
      <w:pPr>
        <w:widowControl w:val="0"/>
        <w:adjustRightInd/>
        <w:snapToGrid/>
        <w:spacing w:after="0" w:line="520" w:lineRule="exact"/>
        <w:ind w:firstLine="636"/>
        <w:jc w:val="both"/>
        <w:rPr>
          <w:rFonts w:ascii="仿宋_GB2312" w:hAnsi="楷体" w:eastAsia="仿宋_GB2312"/>
          <w:bCs/>
          <w:kern w:val="2"/>
          <w:sz w:val="32"/>
          <w:szCs w:val="32"/>
        </w:rPr>
      </w:pPr>
      <w:r>
        <w:rPr>
          <w:rFonts w:hint="eastAsia" w:ascii="仿宋_GB2312" w:hAnsi="楷体" w:eastAsia="仿宋_GB2312"/>
          <w:bCs/>
          <w:kern w:val="2"/>
          <w:sz w:val="32"/>
          <w:szCs w:val="32"/>
        </w:rPr>
        <w:t>（1）房屋情况</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截至2021年12月31日，本单位共有房屋0平方米，价值为0万元，其中办公用房0平方米，价值为0万元；业务用房0平方米，价值为0万元；其他（不含构筑物）0平方米，价值为0万元。</w:t>
      </w:r>
    </w:p>
    <w:p>
      <w:pPr>
        <w:widowControl w:val="0"/>
        <w:adjustRightInd/>
        <w:snapToGrid/>
        <w:spacing w:after="0" w:line="520" w:lineRule="exact"/>
        <w:ind w:firstLine="636"/>
        <w:jc w:val="both"/>
        <w:rPr>
          <w:rFonts w:ascii="仿宋_GB2312" w:hAnsi="楷体" w:eastAsia="仿宋_GB2312"/>
          <w:bCs/>
          <w:kern w:val="2"/>
          <w:sz w:val="32"/>
          <w:szCs w:val="32"/>
        </w:rPr>
      </w:pPr>
      <w:r>
        <w:rPr>
          <w:rFonts w:hint="eastAsia" w:ascii="仿宋_GB2312" w:hAnsi="楷体" w:eastAsia="仿宋_GB2312"/>
          <w:bCs/>
          <w:kern w:val="2"/>
          <w:sz w:val="32"/>
          <w:szCs w:val="32"/>
        </w:rPr>
        <w:t>（2）车辆及设备情况</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截至2021年12月31日，本单位共有车辆0辆。其中，副部（省）级及以上领导用车0辆、主要领导干部用车0辆、机要通信用车0辆、应急保障用车0辆、执法执勤用车0辆、特种专业技术用车0辆、离退休干部用车0辆、其他用车0辆；单价50万元（含）以上的通用设备1台（套），单价100万元（含）以上专用设备0台（套）。</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（四）预算绩效情况说明</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（1）预算绩效管理工作开展情况。</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预算绩效管理要求，我单位组织对2021年度县级财政预算安排的专项资金类0个项目支出全面开展绩效自评，涉及预算资金0万元，占一般公共预算项目支出总额的0%。组织对2021年度地方旅游开发项目补助(基金)等0个政府性基金预算项目支出开展绩效自评，共涉及预算资金0万元，占政府性基金预算项目支出总额的0%。</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组织0个项目开展了单位评价，涉及一般公共预算支出0万元，政府性基金预算支出0万元。</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组织0个单位开展整体绩效评价试点，涉及一般公共预算支出0万元，政府性基金预算支出0万元。</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（2）单位决算中项目绩效自评结果。每个单位至少选择3个项目向社会公开，按照如下格式进行说明。</w:t>
      </w:r>
    </w:p>
    <w:p>
      <w:pPr>
        <w:widowControl w:val="0"/>
        <w:adjustRightInd/>
        <w:snapToGrid/>
        <w:spacing w:after="0" w:line="520" w:lineRule="exact"/>
        <w:ind w:firstLine="636"/>
        <w:jc w:val="both"/>
        <w:rPr>
          <w:rFonts w:ascii="仿宋_GB2312" w:hAnsi="仿宋_GB2312" w:eastAsia="仿宋_GB2312" w:cs="仿宋_GB2312"/>
          <w:kern w:val="2"/>
          <w:sz w:val="32"/>
          <w:szCs w:val="32"/>
        </w:rPr>
      </w:pPr>
      <w:r>
        <w:rPr>
          <w:rFonts w:hint="eastAsia" w:ascii="仿宋_GB2312" w:hAnsi="楷体" w:eastAsia="仿宋_GB2312"/>
          <w:bCs/>
          <w:kern w:val="2"/>
          <w:sz w:val="32"/>
          <w:szCs w:val="32"/>
        </w:rPr>
        <w:t>项目绩效自评综述</w:t>
      </w:r>
      <w:r>
        <w:rPr>
          <w:rFonts w:hint="eastAsia" w:ascii="仿宋_GB2312" w:hAnsi="仿宋_GB2312" w:eastAsia="仿宋_GB2312" w:cs="仿宋_GB2312"/>
          <w:bCs/>
          <w:kern w:val="2"/>
          <w:sz w:val="32"/>
          <w:szCs w:val="32"/>
        </w:rPr>
        <w:t>：</w:t>
      </w:r>
      <w:r>
        <w:rPr>
          <w:rFonts w:hint="eastAsia" w:ascii="仿宋_GB2312" w:hAnsi="仿宋_GB2312" w:eastAsia="仿宋_GB2312" w:cs="仿宋_GB2312"/>
          <w:kern w:val="2"/>
          <w:sz w:val="32"/>
          <w:szCs w:val="32"/>
        </w:rPr>
        <w:t>根据年初设定的绩效目标，项目自评得分为0分。全年预算数为0万元，执行数为0万元，完成预算的0%。</w:t>
      </w:r>
    </w:p>
    <w:p>
      <w:pPr>
        <w:widowControl w:val="0"/>
        <w:adjustRightInd/>
        <w:snapToGrid/>
        <w:spacing w:after="0" w:line="520" w:lineRule="exact"/>
        <w:ind w:firstLine="636"/>
        <w:jc w:val="both"/>
        <w:rPr>
          <w:rFonts w:ascii="仿宋_GB2312" w:hAnsi="楷体" w:eastAsia="仿宋_GB2312"/>
          <w:bCs/>
          <w:kern w:val="2"/>
          <w:sz w:val="32"/>
          <w:szCs w:val="32"/>
        </w:rPr>
      </w:pPr>
      <w:r>
        <w:rPr>
          <w:rFonts w:hint="eastAsia" w:ascii="仿宋_GB2312" w:hAnsi="楷体" w:eastAsia="仿宋_GB2312"/>
          <w:b/>
          <w:kern w:val="2"/>
          <w:sz w:val="32"/>
          <w:szCs w:val="32"/>
        </w:rPr>
        <w:t>（3）单位评价项目绩效评价结果。</w:t>
      </w:r>
    </w:p>
    <w:p>
      <w:pPr>
        <w:widowControl w:val="0"/>
        <w:adjustRightInd/>
        <w:snapToGrid/>
        <w:spacing w:after="0" w:line="520" w:lineRule="exact"/>
        <w:ind w:firstLine="636"/>
        <w:jc w:val="both"/>
        <w:rPr>
          <w:rFonts w:ascii="仿宋_GB2312" w:hAnsi="楷体" w:eastAsia="仿宋_GB2312"/>
          <w:bCs/>
          <w:kern w:val="2"/>
          <w:sz w:val="32"/>
          <w:szCs w:val="32"/>
        </w:rPr>
      </w:pPr>
      <w:r>
        <w:rPr>
          <w:rFonts w:hint="eastAsia" w:ascii="仿宋_GB2312" w:hAnsi="楷体" w:eastAsia="仿宋_GB2312"/>
          <w:bCs/>
          <w:kern w:val="2"/>
          <w:sz w:val="32"/>
          <w:szCs w:val="32"/>
        </w:rPr>
        <w:t>我单位本年度没有开展部门评价项目绩效评价</w:t>
      </w:r>
    </w:p>
    <w:p>
      <w:pPr>
        <w:widowControl w:val="0"/>
        <w:adjustRightInd/>
        <w:snapToGrid/>
        <w:spacing w:after="0" w:line="520" w:lineRule="exact"/>
        <w:ind w:firstLine="636"/>
        <w:jc w:val="both"/>
        <w:rPr>
          <w:rFonts w:ascii="仿宋_GB2312" w:hAnsi="楷体" w:eastAsia="仿宋_GB2312"/>
          <w:b/>
          <w:kern w:val="2"/>
          <w:sz w:val="32"/>
          <w:szCs w:val="32"/>
        </w:rPr>
      </w:pPr>
      <w:r>
        <w:rPr>
          <w:rFonts w:hint="eastAsia" w:ascii="仿宋_GB2312" w:hAnsi="楷体" w:eastAsia="仿宋_GB2312"/>
          <w:b/>
          <w:kern w:val="2"/>
          <w:sz w:val="32"/>
          <w:szCs w:val="32"/>
        </w:rPr>
        <w:t>（五）其他需要说明的事项</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1、培训费：</w:t>
      </w:r>
      <w:r>
        <w:rPr>
          <w:rFonts w:hint="eastAsia" w:ascii="仿宋_GB2312" w:hAnsi="仿宋_GB2312" w:eastAsia="仿宋_GB2312" w:cs="仿宋_GB2312"/>
          <w:kern w:val="2"/>
          <w:sz w:val="32"/>
          <w:szCs w:val="32"/>
        </w:rPr>
        <w:t>全年一般公共预算拨款安排的培训费决算年初预算0万元，支出决算14.02万元，完成年初预算的0%，比上年增加5.92万元，增长73.09%，原因是支文化惠民活动、三支队伍培训费。2021年度全年组织培训2个，组织培训145人次。主要为培训文艺队伍负责人、文化带头人、能人艺人、两馆业务人员、乡镇文化站文化员的群众文艺理论、业务务实、摄影、网络上传操作等。</w:t>
      </w:r>
    </w:p>
    <w:tbl>
      <w:tblPr>
        <w:tblStyle w:val="6"/>
        <w:tblW w:w="8664" w:type="dxa"/>
        <w:tblInd w:w="91" w:type="dxa"/>
        <w:tblLayout w:type="fixed"/>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决算数（万元）</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14.02</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8.10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5.92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73.09%</w:t>
            </w:r>
          </w:p>
        </w:tc>
      </w:tr>
    </w:tbl>
    <w:p>
      <w:pPr>
        <w:shd w:val="clear" w:color="auto" w:fill="FFFFFF"/>
        <w:adjustRightInd/>
        <w:snapToGrid/>
        <w:spacing w:after="0" w:line="520" w:lineRule="exact"/>
        <w:ind w:firstLine="643" w:firstLineChars="200"/>
        <w:rPr>
          <w:rFonts w:ascii="仿宋_GB2312" w:hAnsi="仿宋" w:eastAsia="仿宋_GB2312"/>
          <w:sz w:val="32"/>
          <w:szCs w:val="32"/>
        </w:rPr>
      </w:pPr>
      <w:r>
        <w:rPr>
          <w:rFonts w:hint="eastAsia" w:ascii="仿宋_GB2312" w:hAnsi="仿宋_GB2312" w:eastAsia="仿宋_GB2312" w:cs="仿宋_GB2312"/>
          <w:b/>
          <w:bCs/>
          <w:kern w:val="2"/>
          <w:sz w:val="32"/>
          <w:szCs w:val="32"/>
        </w:rPr>
        <w:t>2、会议费：</w:t>
      </w:r>
      <w:r>
        <w:rPr>
          <w:rFonts w:hint="eastAsia" w:ascii="仿宋_GB2312" w:hAnsi="仿宋" w:eastAsia="仿宋_GB2312"/>
          <w:sz w:val="32"/>
          <w:szCs w:val="32"/>
        </w:rPr>
        <w:t>全年一般公共预算拨款安排的会议费年初预算0万元，支出决算0万元，完成年初预算的0%，比上年增加-3.69万元，增长0%，原因是因疫情原因，缩减会议经费。2021年度全年召开会议0个，参加会议0人次。</w:t>
      </w:r>
    </w:p>
    <w:tbl>
      <w:tblPr>
        <w:tblStyle w:val="6"/>
        <w:tblW w:w="8664" w:type="dxa"/>
        <w:tblInd w:w="91" w:type="dxa"/>
        <w:tblLayout w:type="fixed"/>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决算数（万元）</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3.69</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-3.69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rPr>
            </w:pPr>
            <w:r>
              <w:rPr>
                <w:rFonts w:hint="eastAsia" w:ascii="宋体" w:hAnsi="宋体" w:eastAsia="宋体" w:cs="宋体"/>
                <w:color w:val="000000"/>
              </w:rPr>
              <w:t>0%</w:t>
            </w:r>
          </w:p>
        </w:tc>
      </w:tr>
    </w:tbl>
    <w:p>
      <w:pPr>
        <w:shd w:val="clear" w:color="auto" w:fill="FFFFFF"/>
        <w:adjustRightInd/>
        <w:snapToGrid/>
        <w:spacing w:after="0" w:line="520" w:lineRule="exact"/>
        <w:ind w:firstLine="643" w:firstLineChars="200"/>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3、其他需要说明的事项</w:t>
      </w:r>
    </w:p>
    <w:p>
      <w:pPr>
        <w:spacing w:line="220" w:lineRule="atLeast"/>
        <w:ind w:firstLine="480" w:firstLineChars="150"/>
        <w:rPr>
          <w:rFonts w:ascii="仿宋_GB2312" w:hAnsi="仿宋" w:eastAsia="仿宋_GB2312"/>
          <w:sz w:val="32"/>
          <w:szCs w:val="32"/>
        </w:rPr>
      </w:pPr>
      <w:r>
        <w:rPr>
          <w:rFonts w:hint="eastAsia" w:ascii="仿宋_GB2312" w:hAnsi="仿宋" w:eastAsia="仿宋_GB2312"/>
          <w:sz w:val="32"/>
          <w:szCs w:val="32"/>
        </w:rPr>
        <w:t>我单位无其他需要说明的事项。</w:t>
      </w:r>
    </w:p>
    <w:p>
      <w:pPr>
        <w:shd w:val="clear" w:color="auto" w:fill="FFFFFF"/>
        <w:adjustRightInd/>
        <w:snapToGrid/>
        <w:spacing w:after="0" w:line="520" w:lineRule="exact"/>
        <w:rPr>
          <w:rFonts w:ascii="黑体" w:hAnsi="黑体" w:eastAsia="黑体"/>
          <w:b/>
          <w:kern w:val="2"/>
          <w:sz w:val="32"/>
          <w:szCs w:val="32"/>
        </w:rPr>
      </w:pPr>
      <w:r>
        <w:rPr>
          <w:rFonts w:hint="eastAsia" w:ascii="黑体" w:hAnsi="黑体" w:eastAsia="黑体"/>
          <w:b/>
          <w:kern w:val="2"/>
          <w:sz w:val="32"/>
          <w:szCs w:val="32"/>
        </w:rPr>
        <w:t>第四部分 名词解释</w:t>
      </w:r>
    </w:p>
    <w:p>
      <w:pPr>
        <w:shd w:val="clear" w:color="auto" w:fill="FFFFFF"/>
        <w:adjustRightInd/>
        <w:snapToGrid/>
        <w:spacing w:after="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单位应当按照单位预算管理要求，对本单位涉及的专业名词进行解释。（以下模板仅供参考，以单位实际为准）</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一、财政拨款收入：</w:t>
      </w:r>
      <w:r>
        <w:rPr>
          <w:rFonts w:hint="eastAsia" w:ascii="仿宋_GB2312" w:hAnsi="仿宋_GB2312" w:eastAsia="仿宋_GB2312" w:cs="仿宋_GB2312"/>
          <w:kern w:val="2"/>
          <w:sz w:val="32"/>
          <w:szCs w:val="32"/>
        </w:rPr>
        <w:t>指单位从同级财政单位取得的财政预算资金。</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二、事业收入：</w:t>
      </w:r>
      <w:r>
        <w:rPr>
          <w:rFonts w:hint="eastAsia" w:ascii="仿宋_GB2312" w:hAnsi="仿宋_GB2312" w:eastAsia="仿宋_GB2312" w:cs="仿宋_GB2312"/>
          <w:kern w:val="2"/>
          <w:sz w:val="32"/>
          <w:szCs w:val="32"/>
        </w:rPr>
        <w:t>指事业单位开展专业业务活动及辅助活动取得的收入。</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三、经营收入：</w:t>
      </w:r>
      <w:r>
        <w:rPr>
          <w:rFonts w:hint="eastAsia" w:ascii="仿宋_GB2312" w:hAnsi="仿宋_GB2312" w:eastAsia="仿宋_GB2312" w:cs="仿宋_GB2312"/>
          <w:kern w:val="2"/>
          <w:sz w:val="32"/>
          <w:szCs w:val="32"/>
        </w:rPr>
        <w:t>指事业单位在专业业务活动及其辅助活动之外开展非独立核算经营活动取得的收入。</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四、其他收入：</w:t>
      </w:r>
      <w:r>
        <w:rPr>
          <w:rFonts w:hint="eastAsia" w:ascii="仿宋_GB2312" w:hAnsi="仿宋_GB2312" w:eastAsia="仿宋_GB2312" w:cs="仿宋_GB2312"/>
          <w:kern w:val="2"/>
          <w:sz w:val="32"/>
          <w:szCs w:val="32"/>
        </w:rPr>
        <w:t>指单位取得的除上述收入以外的各项收入。主要是事业单位固定资产出租收入、存款利息收入等。</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五、使用非财政拨款结余：</w:t>
      </w:r>
      <w:r>
        <w:rPr>
          <w:rFonts w:hint="eastAsia" w:ascii="仿宋_GB2312" w:hAnsi="仿宋_GB2312" w:eastAsia="仿宋_GB2312" w:cs="仿宋_GB2312"/>
          <w:kern w:val="2"/>
          <w:sz w:val="32"/>
          <w:szCs w:val="32"/>
        </w:rPr>
        <w:t>指事业单位使用以前年度积累的非财政拨款结余弥补当年收支差额的金额。</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六、年初结转和结余：</w:t>
      </w:r>
      <w:r>
        <w:rPr>
          <w:rFonts w:hint="eastAsia" w:ascii="仿宋_GB2312" w:hAnsi="仿宋_GB2312" w:eastAsia="仿宋_GB2312" w:cs="仿宋_GB2312"/>
          <w:kern w:val="2"/>
          <w:sz w:val="32"/>
          <w:szCs w:val="32"/>
        </w:rPr>
        <w:t>指单位以前年度尚未完成、结转到本年仍按原规定用途继续使用的资金，或项目已完成等产生的结余资金。</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七、结余分配：</w:t>
      </w:r>
      <w:r>
        <w:rPr>
          <w:rFonts w:hint="eastAsia" w:ascii="仿宋_GB2312" w:hAnsi="仿宋_GB2312" w:eastAsia="仿宋_GB2312" w:cs="仿宋_GB2312"/>
          <w:kern w:val="2"/>
          <w:sz w:val="32"/>
          <w:szCs w:val="32"/>
        </w:rPr>
        <w:t>指事业单位按照会计制度规定缴纳的所得税、提取的专用结余以及转入非财政拨款结余的金额等。</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八、年末结转和结余：</w:t>
      </w:r>
      <w:r>
        <w:rPr>
          <w:rFonts w:hint="eastAsia" w:ascii="仿宋_GB2312" w:hAnsi="仿宋_GB2312" w:eastAsia="仿宋_GB2312" w:cs="仿宋_GB2312"/>
          <w:kern w:val="2"/>
          <w:sz w:val="32"/>
          <w:szCs w:val="32"/>
        </w:rPr>
        <w:t>指单位按有关规定结转到下年或以后年度继续使用的资金，或项目已完成等产生的结余资金。</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九、基本支出：</w:t>
      </w:r>
      <w:r>
        <w:rPr>
          <w:rFonts w:hint="eastAsia" w:ascii="仿宋_GB2312" w:hAnsi="仿宋_GB2312" w:eastAsia="仿宋_GB2312" w:cs="仿宋_GB2312"/>
          <w:kern w:val="2"/>
          <w:sz w:val="32"/>
          <w:szCs w:val="32"/>
        </w:rPr>
        <w:t>指为保障机构正常运转、完成日常工作任务而发生的人员支出和公用支出。</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十、项目支出：</w:t>
      </w:r>
      <w:r>
        <w:rPr>
          <w:rFonts w:hint="eastAsia" w:ascii="仿宋_GB2312" w:hAnsi="仿宋_GB2312" w:eastAsia="仿宋_GB2312" w:cs="仿宋_GB2312"/>
          <w:kern w:val="2"/>
          <w:sz w:val="32"/>
          <w:szCs w:val="32"/>
        </w:rPr>
        <w:t>指在基本支出之外为完成特定行政任务和事业发展目标所发生的支出。</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十一、“三公”经费：</w:t>
      </w:r>
      <w:r>
        <w:rPr>
          <w:rFonts w:hint="eastAsia" w:ascii="仿宋_GB2312" w:hAnsi="仿宋_GB2312" w:eastAsia="仿宋_GB2312" w:cs="仿宋_GB2312"/>
          <w:kern w:val="2"/>
          <w:sz w:val="32"/>
          <w:szCs w:val="32"/>
        </w:rPr>
        <w:t>指省直单位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十二、机关运行经费：</w:t>
      </w:r>
      <w:r>
        <w:rPr>
          <w:rFonts w:hint="eastAsia" w:ascii="仿宋_GB2312" w:hAnsi="仿宋_GB2312" w:eastAsia="仿宋_GB2312" w:cs="仿宋_GB2312"/>
          <w:kern w:val="2"/>
          <w:sz w:val="32"/>
          <w:szCs w:val="32"/>
        </w:rPr>
        <w:t>指行政单位和参照公务员法管理的事业单位使用一般公共预算安排的基本支出中的日常公用经费支出。</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十三、政府购买服务：</w:t>
      </w:r>
      <w:r>
        <w:rPr>
          <w:rFonts w:hint="eastAsia" w:ascii="仿宋_GB2312" w:hAnsi="仿宋_GB2312" w:eastAsia="仿宋_GB2312" w:cs="仿宋_GB2312"/>
          <w:kern w:val="2"/>
          <w:sz w:val="32"/>
          <w:szCs w:val="32"/>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十四、人员经费：</w:t>
      </w:r>
      <w:r>
        <w:rPr>
          <w:rFonts w:hint="eastAsia" w:ascii="仿宋_GB2312" w:hAnsi="仿宋_GB2312" w:eastAsia="仿宋_GB2312" w:cs="仿宋_GB2312"/>
          <w:kern w:val="2"/>
          <w:sz w:val="32"/>
          <w:szCs w:val="32"/>
        </w:rPr>
        <w:t>主要包括：基本工资、津贴补贴、奖金、社会保障缴费、伙食补助费、绩效工资、其他工资福利支出、离休费、退休费、抚恤金、生活补助、医疗费、奖励金、住房公积金、提租补贴、</w:t>
      </w:r>
      <w:bookmarkStart w:id="0" w:name="_GoBack"/>
      <w:bookmarkEnd w:id="0"/>
      <w:r>
        <w:rPr>
          <w:rFonts w:hint="eastAsia" w:ascii="仿宋_GB2312" w:hAnsi="仿宋_GB2312" w:eastAsia="仿宋_GB2312" w:cs="仿宋_GB2312"/>
          <w:kern w:val="2"/>
          <w:sz w:val="32"/>
          <w:szCs w:val="32"/>
        </w:rPr>
        <w:t>其他对个人和家庭的补助支出。</w:t>
      </w:r>
    </w:p>
    <w:p>
      <w:pPr>
        <w:shd w:val="clear" w:color="auto" w:fill="FFFFFF"/>
        <w:adjustRightInd/>
        <w:snapToGrid/>
        <w:spacing w:after="0" w:line="52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十五、公用经费：</w:t>
      </w:r>
      <w:r>
        <w:rPr>
          <w:rFonts w:hint="eastAsia" w:ascii="仿宋_GB2312" w:hAnsi="仿宋_GB2312" w:eastAsia="仿宋_GB2312" w:cs="仿宋_GB2312"/>
          <w:kern w:val="2"/>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hd w:val="clear" w:color="auto" w:fill="FFFFFF"/>
        <w:adjustRightInd/>
        <w:snapToGrid/>
        <w:spacing w:after="0" w:line="520" w:lineRule="exact"/>
        <w:rPr>
          <w:rFonts w:ascii="黑体" w:hAnsi="黑体" w:eastAsia="黑体"/>
          <w:b/>
          <w:kern w:val="2"/>
          <w:sz w:val="32"/>
          <w:szCs w:val="32"/>
        </w:rPr>
      </w:pPr>
      <w:r>
        <w:rPr>
          <w:rFonts w:hint="eastAsia" w:ascii="黑体" w:hAnsi="黑体" w:eastAsia="黑体"/>
          <w:b/>
          <w:kern w:val="2"/>
          <w:sz w:val="32"/>
          <w:szCs w:val="32"/>
        </w:rPr>
        <w:t>第五部分 附件</w:t>
      </w:r>
    </w:p>
    <w:p>
      <w:pPr>
        <w:spacing w:line="220" w:lineRule="atLeast"/>
        <w:rPr>
          <w:sz w:val="28"/>
          <w:szCs w:val="28"/>
        </w:rPr>
        <w:sectPr>
          <w:pgSz w:w="11906" w:h="16838"/>
          <w:pgMar w:top="1440" w:right="1800" w:bottom="1440" w:left="1800" w:header="708" w:footer="708" w:gutter="0"/>
          <w:pgNumType w:start="1"/>
          <w:cols w:space="708" w:num="1"/>
          <w:docGrid w:linePitch="360" w:charSpace="0"/>
        </w:sectPr>
      </w:pPr>
      <w:r>
        <w:rPr>
          <w:rFonts w:hint="eastAsia"/>
          <w:sz w:val="28"/>
          <w:szCs w:val="28"/>
        </w:rPr>
        <w:t xml:space="preserve">      </w:t>
      </w:r>
      <w:r>
        <w:rPr>
          <w:rFonts w:hint="eastAsia" w:ascii="仿宋_GB2312" w:hAnsi="仿宋_GB2312" w:eastAsia="仿宋_GB2312" w:cs="仿宋_GB2312"/>
          <w:kern w:val="2"/>
          <w:sz w:val="32"/>
          <w:szCs w:val="32"/>
        </w:rPr>
        <w:t xml:space="preserve"> 我单位2021年度没有其他需要说明的事项。</w:t>
      </w:r>
    </w:p>
    <w:p>
      <w:pPr>
        <w:spacing w:line="220" w:lineRule="atLeast"/>
        <w:rPr>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020E4"/>
    <w:multiLevelType w:val="singleLevel"/>
    <w:tmpl w:val="199020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ZTkzYTgwYzY3MzQ5YTNmNzJiYjViODU1MjY5N2I0NzYifQ=="/>
  </w:docVars>
  <w:rsids>
    <w:rsidRoot w:val="00D31D50"/>
    <w:rsid w:val="000034DB"/>
    <w:rsid w:val="00015092"/>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2359D"/>
    <w:rsid w:val="00234B1B"/>
    <w:rsid w:val="00250955"/>
    <w:rsid w:val="00257132"/>
    <w:rsid w:val="00261980"/>
    <w:rsid w:val="00280E08"/>
    <w:rsid w:val="002B5A91"/>
    <w:rsid w:val="002C1613"/>
    <w:rsid w:val="00323B43"/>
    <w:rsid w:val="0032692D"/>
    <w:rsid w:val="00331879"/>
    <w:rsid w:val="00345A54"/>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F2386"/>
    <w:rsid w:val="004F3BD3"/>
    <w:rsid w:val="00534286"/>
    <w:rsid w:val="00586AAF"/>
    <w:rsid w:val="00587E89"/>
    <w:rsid w:val="005D49F3"/>
    <w:rsid w:val="005E4446"/>
    <w:rsid w:val="005F5CEF"/>
    <w:rsid w:val="005F7A3E"/>
    <w:rsid w:val="0060630C"/>
    <w:rsid w:val="006138A3"/>
    <w:rsid w:val="00626F0F"/>
    <w:rsid w:val="00632EB9"/>
    <w:rsid w:val="00642893"/>
    <w:rsid w:val="006771DA"/>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0FC3"/>
    <w:rsid w:val="00922A35"/>
    <w:rsid w:val="009308A6"/>
    <w:rsid w:val="00943B0A"/>
    <w:rsid w:val="0096078A"/>
    <w:rsid w:val="009669AE"/>
    <w:rsid w:val="0097038A"/>
    <w:rsid w:val="009A533E"/>
    <w:rsid w:val="009A5671"/>
    <w:rsid w:val="009A6452"/>
    <w:rsid w:val="009C4F82"/>
    <w:rsid w:val="009D6C64"/>
    <w:rsid w:val="00A46367"/>
    <w:rsid w:val="00A61FAF"/>
    <w:rsid w:val="00A73E29"/>
    <w:rsid w:val="00A76713"/>
    <w:rsid w:val="00A86E94"/>
    <w:rsid w:val="00AD7358"/>
    <w:rsid w:val="00AD7F7B"/>
    <w:rsid w:val="00AE1E0B"/>
    <w:rsid w:val="00AF1714"/>
    <w:rsid w:val="00AF73B7"/>
    <w:rsid w:val="00B05C60"/>
    <w:rsid w:val="00B11481"/>
    <w:rsid w:val="00B24AE1"/>
    <w:rsid w:val="00B81AA3"/>
    <w:rsid w:val="00B87AD6"/>
    <w:rsid w:val="00B945EF"/>
    <w:rsid w:val="00B96867"/>
    <w:rsid w:val="00B969B8"/>
    <w:rsid w:val="00BD3FF2"/>
    <w:rsid w:val="00BE7EBF"/>
    <w:rsid w:val="00C03799"/>
    <w:rsid w:val="00C11733"/>
    <w:rsid w:val="00C12E0D"/>
    <w:rsid w:val="00C3223F"/>
    <w:rsid w:val="00C3277B"/>
    <w:rsid w:val="00C440E2"/>
    <w:rsid w:val="00C46175"/>
    <w:rsid w:val="00C52272"/>
    <w:rsid w:val="00C858AD"/>
    <w:rsid w:val="00C85A8F"/>
    <w:rsid w:val="00CA1335"/>
    <w:rsid w:val="00CA7839"/>
    <w:rsid w:val="00CB6F81"/>
    <w:rsid w:val="00CC5009"/>
    <w:rsid w:val="00CD5ED3"/>
    <w:rsid w:val="00CD6553"/>
    <w:rsid w:val="00CF2B1A"/>
    <w:rsid w:val="00CF497D"/>
    <w:rsid w:val="00CF6512"/>
    <w:rsid w:val="00CF7806"/>
    <w:rsid w:val="00D02A7F"/>
    <w:rsid w:val="00D13827"/>
    <w:rsid w:val="00D21D99"/>
    <w:rsid w:val="00D31D50"/>
    <w:rsid w:val="00D65D54"/>
    <w:rsid w:val="00D6655E"/>
    <w:rsid w:val="00D67621"/>
    <w:rsid w:val="00D70DBD"/>
    <w:rsid w:val="00D71FA2"/>
    <w:rsid w:val="00DB2286"/>
    <w:rsid w:val="00DC2F17"/>
    <w:rsid w:val="00DC4049"/>
    <w:rsid w:val="00DF7E48"/>
    <w:rsid w:val="00E173C3"/>
    <w:rsid w:val="00E2388E"/>
    <w:rsid w:val="00E34FA3"/>
    <w:rsid w:val="00E72552"/>
    <w:rsid w:val="00E751B6"/>
    <w:rsid w:val="00E75761"/>
    <w:rsid w:val="00E92F6D"/>
    <w:rsid w:val="00EC3B89"/>
    <w:rsid w:val="00EC6A3F"/>
    <w:rsid w:val="00EF6880"/>
    <w:rsid w:val="00F03A02"/>
    <w:rsid w:val="00F30906"/>
    <w:rsid w:val="00F3245B"/>
    <w:rsid w:val="00F41066"/>
    <w:rsid w:val="00F646A3"/>
    <w:rsid w:val="00F90000"/>
    <w:rsid w:val="00FA0D4A"/>
    <w:rsid w:val="00FA3F9F"/>
    <w:rsid w:val="00FC472E"/>
    <w:rsid w:val="00FC523D"/>
    <w:rsid w:val="00FD26CE"/>
    <w:rsid w:val="00FE3D82"/>
    <w:rsid w:val="00FE6260"/>
    <w:rsid w:val="00FF39E1"/>
    <w:rsid w:val="00FF597A"/>
    <w:rsid w:val="00FF740D"/>
    <w:rsid w:val="012F1B54"/>
    <w:rsid w:val="01922C48"/>
    <w:rsid w:val="01E138A4"/>
    <w:rsid w:val="025B1CF3"/>
    <w:rsid w:val="05402569"/>
    <w:rsid w:val="098E6FC7"/>
    <w:rsid w:val="09E120EB"/>
    <w:rsid w:val="09ED3D74"/>
    <w:rsid w:val="09F17E28"/>
    <w:rsid w:val="0A2B2E4B"/>
    <w:rsid w:val="0B2D0ACC"/>
    <w:rsid w:val="0CBC06C2"/>
    <w:rsid w:val="0DF244DD"/>
    <w:rsid w:val="1511205B"/>
    <w:rsid w:val="193D5539"/>
    <w:rsid w:val="23534AA7"/>
    <w:rsid w:val="24C27C4F"/>
    <w:rsid w:val="266F5051"/>
    <w:rsid w:val="29E469DC"/>
    <w:rsid w:val="2F0F47CE"/>
    <w:rsid w:val="3BB412AB"/>
    <w:rsid w:val="3F196D71"/>
    <w:rsid w:val="3F797869"/>
    <w:rsid w:val="47921489"/>
    <w:rsid w:val="5A164290"/>
    <w:rsid w:val="5C8D14AD"/>
    <w:rsid w:val="5E064E3E"/>
    <w:rsid w:val="5FD04812"/>
    <w:rsid w:val="618C0BFC"/>
    <w:rsid w:val="65603CE0"/>
    <w:rsid w:val="6759046D"/>
    <w:rsid w:val="697A1CFB"/>
    <w:rsid w:val="6D9967D2"/>
    <w:rsid w:val="756D337F"/>
    <w:rsid w:val="783D1563"/>
    <w:rsid w:val="7BE769D9"/>
    <w:rsid w:val="7C1C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qFormat/>
    <w:uiPriority w:val="0"/>
    <w:pPr>
      <w:keepNext/>
      <w:keepLines/>
      <w:widowControl w:val="0"/>
      <w:spacing w:line="415" w:lineRule="auto"/>
      <w:outlineLvl w:val="1"/>
    </w:pPr>
    <w:rPr>
      <w:rFonts w:ascii="Cambria" w:hAnsi="Cambria" w:cs="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Body Text First Indent 2"/>
    <w:basedOn w:val="1"/>
    <w:qFormat/>
    <w:uiPriority w:val="0"/>
    <w:pPr>
      <w:tabs>
        <w:tab w:val="left" w:pos="7920"/>
      </w:tabs>
      <w:ind w:firstLine="200" w:firstLineChars="200"/>
    </w:p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A23FAA-B88E-4E2F-978D-3B47DD6D7C42}">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5774</Words>
  <Characters>6414</Characters>
  <Lines>47</Lines>
  <Paragraphs>13</Paragraphs>
  <TotalTime>5</TotalTime>
  <ScaleCrop>false</ScaleCrop>
  <LinksUpToDate>false</LinksUpToDate>
  <CharactersWithSpaces>6483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2022-05-16T01:49:00Z</dcterms:created>
  <dc:creator>Administrator</dc:creator>
  <cp:lastModifiedBy>Administrator</cp:lastModifiedBy>
  <dcterms:modified xsi:type="dcterms:W3CDTF">2023-05-12T02:43:18Z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8FA0DF8A07854D1181A95869837A633C_12</vt:lpwstr>
  </property>
</Properties>
</file>