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rPr>
          <w:b/>
          <w:sz w:val="32"/>
          <w:szCs w:val="32"/>
        </w:rPr>
      </w:pPr>
      <w:r>
        <w:rPr>
          <w:rFonts w:hint="eastAsia"/>
          <w:b/>
          <w:sz w:val="32"/>
          <w:szCs w:val="32"/>
        </w:rPr>
        <w:t>804平顺县供销合作社联合社</w:t>
      </w:r>
    </w:p>
    <w:p>
      <w:pPr>
        <w:spacing w:line="220" w:lineRule="atLeast"/>
        <w:jc w:val="center"/>
      </w:pPr>
      <w:r>
        <w:rPr>
          <w:rFonts w:hint="eastAsia"/>
          <w:b/>
          <w:sz w:val="32"/>
          <w:szCs w:val="32"/>
        </w:rPr>
        <w:t>2021年度部门决算公开</w:t>
      </w:r>
    </w:p>
    <w:p>
      <w:pPr>
        <w:spacing w:line="220" w:lineRule="atLeast"/>
        <w:jc w:val="center"/>
        <w:rPr>
          <w:b/>
        </w:rPr>
      </w:pPr>
      <w:r>
        <w:rPr>
          <w:rFonts w:hint="eastAsia"/>
          <w:b/>
        </w:rPr>
        <w:t>目      录</w:t>
      </w:r>
    </w:p>
    <w:p>
      <w:pPr>
        <w:spacing w:after="0" w:line="520" w:lineRule="exact"/>
        <w:rPr>
          <w:b/>
          <w:sz w:val="28"/>
          <w:szCs w:val="28"/>
        </w:rPr>
      </w:pPr>
      <w:r>
        <w:rPr>
          <w:rFonts w:hint="eastAsia"/>
          <w:b/>
          <w:sz w:val="28"/>
          <w:szCs w:val="28"/>
        </w:rPr>
        <w:t>第一部分    概况</w:t>
      </w:r>
    </w:p>
    <w:p>
      <w:pPr>
        <w:spacing w:after="0" w:line="520" w:lineRule="exact"/>
        <w:rPr>
          <w:sz w:val="28"/>
          <w:szCs w:val="28"/>
        </w:rPr>
      </w:pPr>
      <w:r>
        <w:rPr>
          <w:rFonts w:hint="eastAsia"/>
          <w:sz w:val="28"/>
          <w:szCs w:val="28"/>
        </w:rPr>
        <w:t>一、本部门职责</w:t>
      </w:r>
    </w:p>
    <w:p>
      <w:pPr>
        <w:spacing w:after="0" w:line="520" w:lineRule="exact"/>
        <w:rPr>
          <w:sz w:val="28"/>
          <w:szCs w:val="28"/>
        </w:rPr>
      </w:pPr>
      <w:r>
        <w:rPr>
          <w:rFonts w:hint="eastAsia"/>
          <w:sz w:val="28"/>
          <w:szCs w:val="28"/>
        </w:rPr>
        <w:t>二、机构设置情况</w:t>
      </w:r>
    </w:p>
    <w:p>
      <w:pPr>
        <w:spacing w:after="0" w:line="520" w:lineRule="exact"/>
        <w:rPr>
          <w:rFonts w:ascii="仿宋_GB2312" w:hAnsi="楷体" w:eastAsia="仿宋_GB2312"/>
          <w:sz w:val="28"/>
          <w:szCs w:val="28"/>
        </w:rPr>
      </w:pPr>
      <w:r>
        <w:rPr>
          <w:rFonts w:hint="eastAsia"/>
          <w:sz w:val="28"/>
          <w:szCs w:val="28"/>
        </w:rPr>
        <w:t>三、年度工作计划及执行情况</w:t>
      </w:r>
    </w:p>
    <w:p>
      <w:pPr>
        <w:spacing w:after="0" w:line="520" w:lineRule="exact"/>
        <w:rPr>
          <w:b/>
          <w:sz w:val="28"/>
          <w:szCs w:val="28"/>
        </w:rPr>
      </w:pPr>
      <w:r>
        <w:rPr>
          <w:rFonts w:hint="eastAsia"/>
          <w:b/>
          <w:sz w:val="28"/>
          <w:szCs w:val="28"/>
        </w:rPr>
        <w:t>第二部分    2021年度部门决算报表</w:t>
      </w:r>
    </w:p>
    <w:p>
      <w:pPr>
        <w:spacing w:after="0" w:line="520" w:lineRule="exact"/>
        <w:rPr>
          <w:sz w:val="28"/>
          <w:szCs w:val="28"/>
        </w:rPr>
      </w:pPr>
      <w:r>
        <w:rPr>
          <w:rFonts w:hint="eastAsia"/>
          <w:sz w:val="28"/>
          <w:szCs w:val="28"/>
        </w:rPr>
        <w:t>一、收入支出决算总表</w:t>
      </w:r>
    </w:p>
    <w:p>
      <w:pPr>
        <w:spacing w:after="0" w:line="520" w:lineRule="exact"/>
        <w:rPr>
          <w:sz w:val="28"/>
          <w:szCs w:val="28"/>
        </w:rPr>
      </w:pPr>
      <w:r>
        <w:rPr>
          <w:rFonts w:hint="eastAsia"/>
          <w:sz w:val="28"/>
          <w:szCs w:val="28"/>
        </w:rPr>
        <w:t>二、收入决算表</w:t>
      </w:r>
    </w:p>
    <w:p>
      <w:pPr>
        <w:spacing w:after="0" w:line="520" w:lineRule="exact"/>
        <w:rPr>
          <w:sz w:val="28"/>
          <w:szCs w:val="28"/>
        </w:rPr>
      </w:pPr>
      <w:r>
        <w:rPr>
          <w:rFonts w:hint="eastAsia"/>
          <w:sz w:val="28"/>
          <w:szCs w:val="28"/>
        </w:rPr>
        <w:t>三、支出决算表</w:t>
      </w:r>
    </w:p>
    <w:p>
      <w:pPr>
        <w:spacing w:after="0" w:line="520" w:lineRule="exact"/>
        <w:rPr>
          <w:sz w:val="28"/>
          <w:szCs w:val="28"/>
        </w:rPr>
      </w:pPr>
      <w:r>
        <w:rPr>
          <w:rFonts w:hint="eastAsia"/>
          <w:sz w:val="28"/>
          <w:szCs w:val="28"/>
        </w:rPr>
        <w:t>四、财政拨款收入支出决算总表</w:t>
      </w:r>
    </w:p>
    <w:p>
      <w:pPr>
        <w:spacing w:after="0" w:line="520" w:lineRule="exact"/>
        <w:rPr>
          <w:sz w:val="28"/>
          <w:szCs w:val="28"/>
        </w:rPr>
      </w:pPr>
      <w:r>
        <w:rPr>
          <w:rFonts w:hint="eastAsia"/>
          <w:sz w:val="28"/>
          <w:szCs w:val="28"/>
        </w:rPr>
        <w:t>五、一般公共预算财政拨款支出决算表（一）</w:t>
      </w:r>
    </w:p>
    <w:p>
      <w:pPr>
        <w:spacing w:after="0" w:line="520" w:lineRule="exact"/>
        <w:rPr>
          <w:sz w:val="28"/>
          <w:szCs w:val="28"/>
        </w:rPr>
      </w:pPr>
      <w:r>
        <w:rPr>
          <w:rFonts w:hint="eastAsia"/>
          <w:sz w:val="28"/>
          <w:szCs w:val="28"/>
        </w:rPr>
        <w:t>六、一般公共预算财政拨款支出决算表（二）</w:t>
      </w:r>
    </w:p>
    <w:p>
      <w:pPr>
        <w:spacing w:after="0" w:line="520" w:lineRule="exact"/>
        <w:rPr>
          <w:sz w:val="28"/>
          <w:szCs w:val="28"/>
        </w:rPr>
      </w:pPr>
      <w:r>
        <w:rPr>
          <w:rFonts w:hint="eastAsia"/>
          <w:sz w:val="28"/>
          <w:szCs w:val="28"/>
        </w:rPr>
        <w:t>七、一般公共预算财政拨款“三公”经费支出决算表</w:t>
      </w:r>
    </w:p>
    <w:p>
      <w:pPr>
        <w:spacing w:after="0" w:line="520" w:lineRule="exact"/>
        <w:rPr>
          <w:sz w:val="28"/>
          <w:szCs w:val="28"/>
        </w:rPr>
      </w:pPr>
      <w:r>
        <w:rPr>
          <w:rFonts w:hint="eastAsia"/>
          <w:sz w:val="28"/>
          <w:szCs w:val="28"/>
        </w:rPr>
        <w:t>八、政府性基金预算财政拨款收入支出决算表</w:t>
      </w:r>
    </w:p>
    <w:p>
      <w:pPr>
        <w:spacing w:after="0" w:line="520" w:lineRule="exact"/>
        <w:rPr>
          <w:sz w:val="28"/>
          <w:szCs w:val="28"/>
        </w:rPr>
      </w:pPr>
      <w:r>
        <w:rPr>
          <w:rFonts w:hint="eastAsia"/>
          <w:sz w:val="28"/>
          <w:szCs w:val="28"/>
        </w:rPr>
        <w:t>九、国有资本经营预算财政拨款支出决算表</w:t>
      </w:r>
    </w:p>
    <w:p>
      <w:pPr>
        <w:spacing w:after="0" w:line="520" w:lineRule="exact"/>
        <w:rPr>
          <w:sz w:val="28"/>
          <w:szCs w:val="28"/>
        </w:rPr>
      </w:pPr>
      <w:r>
        <w:rPr>
          <w:rFonts w:hint="eastAsia"/>
          <w:sz w:val="28"/>
          <w:szCs w:val="28"/>
        </w:rPr>
        <w:t>十、部门决算公开相关信息统计表</w:t>
      </w:r>
    </w:p>
    <w:p>
      <w:pPr>
        <w:spacing w:after="0" w:line="520" w:lineRule="exact"/>
        <w:rPr>
          <w:b/>
          <w:sz w:val="28"/>
          <w:szCs w:val="28"/>
        </w:rPr>
      </w:pPr>
      <w:r>
        <w:rPr>
          <w:rFonts w:hint="eastAsia"/>
          <w:b/>
          <w:sz w:val="28"/>
          <w:szCs w:val="28"/>
        </w:rPr>
        <w:t>第三部分   2021年度部门决算情况说明</w:t>
      </w:r>
    </w:p>
    <w:p>
      <w:pPr>
        <w:spacing w:after="0" w:line="520" w:lineRule="exact"/>
        <w:rPr>
          <w:sz w:val="28"/>
          <w:szCs w:val="28"/>
        </w:rPr>
      </w:pPr>
      <w:r>
        <w:rPr>
          <w:rFonts w:hint="eastAsia"/>
          <w:sz w:val="28"/>
          <w:szCs w:val="28"/>
        </w:rPr>
        <w:t>一、收入支出决算总体情况说明</w:t>
      </w:r>
    </w:p>
    <w:p>
      <w:pPr>
        <w:spacing w:after="0" w:line="520" w:lineRule="exact"/>
        <w:rPr>
          <w:sz w:val="28"/>
          <w:szCs w:val="28"/>
        </w:rPr>
      </w:pPr>
      <w:r>
        <w:rPr>
          <w:rFonts w:hint="eastAsia"/>
          <w:sz w:val="28"/>
          <w:szCs w:val="28"/>
        </w:rPr>
        <w:t>二、收入决算情况说明</w:t>
      </w:r>
    </w:p>
    <w:p>
      <w:pPr>
        <w:spacing w:after="0" w:line="520" w:lineRule="exact"/>
        <w:rPr>
          <w:sz w:val="28"/>
          <w:szCs w:val="28"/>
        </w:rPr>
      </w:pPr>
      <w:r>
        <w:rPr>
          <w:rFonts w:hint="eastAsia"/>
          <w:sz w:val="28"/>
          <w:szCs w:val="28"/>
        </w:rPr>
        <w:t>三、支出决算情况说明</w:t>
      </w:r>
    </w:p>
    <w:p>
      <w:pPr>
        <w:spacing w:after="0" w:line="520" w:lineRule="exact"/>
        <w:rPr>
          <w:sz w:val="28"/>
          <w:szCs w:val="28"/>
        </w:rPr>
      </w:pPr>
      <w:r>
        <w:rPr>
          <w:rFonts w:hint="eastAsia"/>
          <w:sz w:val="28"/>
          <w:szCs w:val="28"/>
        </w:rPr>
        <w:t>四、财政拨款收入支出决算总体情况说明</w:t>
      </w:r>
    </w:p>
    <w:p>
      <w:pPr>
        <w:spacing w:after="0" w:line="520" w:lineRule="exact"/>
        <w:rPr>
          <w:sz w:val="28"/>
          <w:szCs w:val="28"/>
        </w:rPr>
      </w:pPr>
      <w:r>
        <w:rPr>
          <w:rFonts w:hint="eastAsia"/>
          <w:sz w:val="28"/>
          <w:szCs w:val="28"/>
        </w:rPr>
        <w:t>五、一般公共预算财政拨款支出决算情况说明</w:t>
      </w:r>
    </w:p>
    <w:p>
      <w:pPr>
        <w:spacing w:after="0" w:line="520" w:lineRule="exact"/>
        <w:rPr>
          <w:sz w:val="28"/>
          <w:szCs w:val="28"/>
        </w:rPr>
      </w:pPr>
      <w:r>
        <w:rPr>
          <w:rFonts w:hint="eastAsia"/>
          <w:sz w:val="28"/>
          <w:szCs w:val="28"/>
        </w:rPr>
        <w:t>六、一般公共预算财政拨款基本支出决算情况说明</w:t>
      </w:r>
    </w:p>
    <w:p>
      <w:pPr>
        <w:spacing w:after="0" w:line="520" w:lineRule="exact"/>
        <w:rPr>
          <w:sz w:val="28"/>
          <w:szCs w:val="28"/>
        </w:rPr>
      </w:pPr>
      <w:r>
        <w:rPr>
          <w:rFonts w:hint="eastAsia"/>
          <w:sz w:val="28"/>
          <w:szCs w:val="28"/>
        </w:rPr>
        <w:t>七、一般公共预算财政拨款“三公”经费支出决算情况说明</w:t>
      </w:r>
    </w:p>
    <w:p>
      <w:pPr>
        <w:spacing w:after="0" w:line="520" w:lineRule="exact"/>
        <w:rPr>
          <w:sz w:val="28"/>
          <w:szCs w:val="28"/>
        </w:rPr>
      </w:pPr>
      <w:r>
        <w:rPr>
          <w:rFonts w:hint="eastAsia"/>
          <w:sz w:val="28"/>
          <w:szCs w:val="28"/>
        </w:rPr>
        <w:t>八、其他重要事项情况说明</w:t>
      </w:r>
    </w:p>
    <w:p>
      <w:pPr>
        <w:spacing w:after="0" w:line="520" w:lineRule="exact"/>
        <w:rPr>
          <w:b/>
          <w:sz w:val="28"/>
          <w:szCs w:val="28"/>
        </w:rPr>
      </w:pPr>
      <w:r>
        <w:rPr>
          <w:rFonts w:hint="eastAsia"/>
          <w:b/>
          <w:sz w:val="28"/>
          <w:szCs w:val="28"/>
        </w:rPr>
        <w:t>第四部分    名词解释</w:t>
      </w:r>
    </w:p>
    <w:p>
      <w:pPr>
        <w:spacing w:after="0" w:line="520" w:lineRule="exac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after="0" w:line="520" w:lineRule="exact"/>
        <w:rPr>
          <w:rFonts w:hint="eastAsia"/>
          <w:b/>
          <w:sz w:val="28"/>
          <w:szCs w:val="28"/>
        </w:rPr>
      </w:pPr>
    </w:p>
    <w:p>
      <w:pPr>
        <w:spacing w:after="0" w:line="520" w:lineRule="exact"/>
        <w:rPr>
          <w:b/>
          <w:sz w:val="28"/>
          <w:szCs w:val="28"/>
        </w:rPr>
      </w:pPr>
      <w:r>
        <w:rPr>
          <w:rFonts w:hint="eastAsia"/>
          <w:b/>
          <w:sz w:val="28"/>
          <w:szCs w:val="28"/>
        </w:rPr>
        <w:t>第一部分概况</w:t>
      </w:r>
    </w:p>
    <w:p>
      <w:pPr>
        <w:pStyle w:val="10"/>
        <w:numPr>
          <w:ilvl w:val="0"/>
          <w:numId w:val="1"/>
        </w:numPr>
        <w:spacing w:after="0" w:line="520" w:lineRule="exact"/>
        <w:ind w:left="0" w:firstLine="560"/>
        <w:rPr>
          <w:sz w:val="28"/>
          <w:szCs w:val="28"/>
        </w:rPr>
      </w:pPr>
      <w:r>
        <w:rPr>
          <w:rFonts w:hint="eastAsia"/>
          <w:sz w:val="28"/>
          <w:szCs w:val="28"/>
        </w:rPr>
        <w:t>本部门职责</w:t>
      </w:r>
    </w:p>
    <w:p>
      <w:pPr>
        <w:spacing w:after="0" w:line="520" w:lineRule="exact"/>
        <w:ind w:firstLine="560" w:firstLineChars="200"/>
        <w:rPr>
          <w:sz w:val="28"/>
          <w:szCs w:val="28"/>
        </w:rPr>
      </w:pPr>
      <w:r>
        <w:rPr>
          <w:rFonts w:hint="eastAsia"/>
          <w:sz w:val="28"/>
          <w:szCs w:val="28"/>
        </w:rPr>
        <w:t>（1）、贯彻落实各级党委、政府有关农村经济工作和社会发展的方针、政策。参与研究拟订并落实县人民政府农业和农村经济发展规划；研究制定全县供销系统的发展战略和规划，组织实施和指导全县供销社的改革和发展。</w:t>
      </w:r>
    </w:p>
    <w:p>
      <w:pPr>
        <w:spacing w:after="0" w:line="520" w:lineRule="exact"/>
        <w:ind w:firstLine="560" w:firstLineChars="200"/>
        <w:rPr>
          <w:sz w:val="28"/>
          <w:szCs w:val="28"/>
        </w:rPr>
      </w:pPr>
      <w:r>
        <w:rPr>
          <w:rFonts w:hint="eastAsia"/>
          <w:sz w:val="28"/>
          <w:szCs w:val="28"/>
        </w:rPr>
        <w:t>（2）、按照政府授权，对重要农业生产资料、日用消费品、废旧物资、农副产品经营和食盐专卖进行组织、协调、管理。</w:t>
      </w:r>
    </w:p>
    <w:p>
      <w:pPr>
        <w:spacing w:after="0" w:line="520" w:lineRule="exact"/>
        <w:ind w:firstLine="560" w:firstLineChars="200"/>
        <w:rPr>
          <w:sz w:val="28"/>
          <w:szCs w:val="28"/>
        </w:rPr>
      </w:pPr>
      <w:r>
        <w:rPr>
          <w:rFonts w:hint="eastAsia"/>
          <w:sz w:val="28"/>
          <w:szCs w:val="28"/>
        </w:rPr>
        <w:t>（3）、行使社有资产出资人代表职能，代表社员对社有资产行使所有权和管理权，做好本级社有资产的运营管理，监督下级社有资产的安全运营，确保社有资产保值增值。</w:t>
      </w:r>
    </w:p>
    <w:p>
      <w:pPr>
        <w:spacing w:after="0" w:line="520" w:lineRule="exact"/>
        <w:ind w:firstLine="560" w:firstLineChars="200"/>
        <w:rPr>
          <w:sz w:val="28"/>
          <w:szCs w:val="28"/>
        </w:rPr>
      </w:pPr>
      <w:r>
        <w:rPr>
          <w:rFonts w:hint="eastAsia"/>
          <w:sz w:val="28"/>
          <w:szCs w:val="28"/>
        </w:rPr>
        <w:t>（4）、县级供销合作社是基层供销社的联合组织，对全县供销企业（县直公司及基层供销社）的班子建设和业务经营、资产管理负有管理、监督、指导、协调和教育培训人员的责任。</w:t>
      </w:r>
    </w:p>
    <w:p>
      <w:pPr>
        <w:spacing w:after="0" w:line="520" w:lineRule="exact"/>
        <w:ind w:firstLine="560" w:firstLineChars="200"/>
        <w:rPr>
          <w:sz w:val="28"/>
          <w:szCs w:val="28"/>
        </w:rPr>
      </w:pPr>
      <w:r>
        <w:rPr>
          <w:rFonts w:hint="eastAsia"/>
          <w:sz w:val="28"/>
          <w:szCs w:val="28"/>
        </w:rPr>
        <w:t>（5）、指导基层供销社发挥人才、信息、科技、经济的优势，加强系统内的联合与合作，组织新农村现代化流通网络建设，服务农业产业化经营和新农村建设，引导帮助农民发展商品生产，搞活农村商品流通，促进城乡物资交流。</w:t>
      </w:r>
    </w:p>
    <w:p>
      <w:pPr>
        <w:spacing w:after="0" w:line="520" w:lineRule="exact"/>
        <w:ind w:firstLine="560" w:firstLineChars="200"/>
        <w:rPr>
          <w:sz w:val="28"/>
          <w:szCs w:val="28"/>
        </w:rPr>
      </w:pPr>
      <w:r>
        <w:rPr>
          <w:rFonts w:hint="eastAsia"/>
          <w:sz w:val="28"/>
          <w:szCs w:val="28"/>
        </w:rPr>
        <w:t xml:space="preserve">（6）、指导发展农民专业合作社组织和农产品行业协会，协调与政府部门、社会组织的关系；向政府和有关部门反映农民社员及供销合作社的愿望、建议和诉求，争取扶持政策，维护农民和供销合作社的合法权益。 </w:t>
      </w:r>
    </w:p>
    <w:p>
      <w:pPr>
        <w:spacing w:after="0" w:line="520" w:lineRule="exact"/>
        <w:ind w:firstLine="560" w:firstLineChars="200"/>
        <w:rPr>
          <w:sz w:val="28"/>
          <w:szCs w:val="28"/>
        </w:rPr>
      </w:pPr>
      <w:r>
        <w:rPr>
          <w:rFonts w:hint="eastAsia"/>
          <w:sz w:val="28"/>
          <w:szCs w:val="28"/>
        </w:rPr>
        <w:t>（7）、参与上级社组织的国内外经济交流活动，发展经济、贸易、技术、人才的交流和合作关系。</w:t>
      </w:r>
    </w:p>
    <w:p>
      <w:pPr>
        <w:spacing w:after="0" w:line="520" w:lineRule="exact"/>
        <w:ind w:firstLine="560" w:firstLineChars="200"/>
        <w:rPr>
          <w:sz w:val="28"/>
          <w:szCs w:val="28"/>
        </w:rPr>
      </w:pPr>
      <w:r>
        <w:rPr>
          <w:rFonts w:hint="eastAsia"/>
          <w:sz w:val="28"/>
          <w:szCs w:val="28"/>
        </w:rPr>
        <w:t>（8）、承办县人民政府交办的其他事项。</w:t>
      </w:r>
    </w:p>
    <w:p>
      <w:pPr>
        <w:spacing w:after="0" w:line="520" w:lineRule="exact"/>
        <w:ind w:firstLine="560" w:firstLineChars="200"/>
        <w:rPr>
          <w:sz w:val="28"/>
          <w:szCs w:val="28"/>
        </w:rPr>
      </w:pPr>
      <w:r>
        <w:rPr>
          <w:rFonts w:hint="eastAsia"/>
          <w:sz w:val="28"/>
          <w:szCs w:val="28"/>
        </w:rPr>
        <w:t>二、机构设置情况</w:t>
      </w:r>
    </w:p>
    <w:p>
      <w:pPr>
        <w:spacing w:after="0" w:line="520" w:lineRule="exact"/>
        <w:ind w:firstLine="560" w:firstLineChars="200"/>
        <w:rPr>
          <w:sz w:val="28"/>
          <w:szCs w:val="28"/>
        </w:rPr>
      </w:pPr>
      <w:r>
        <w:rPr>
          <w:sz w:val="28"/>
          <w:szCs w:val="28"/>
        </w:rPr>
        <w:t>1. 根据部门职责分工，本部门内设机构包括</w:t>
      </w:r>
      <w:r>
        <w:rPr>
          <w:rFonts w:hint="eastAsia"/>
          <w:sz w:val="28"/>
          <w:szCs w:val="28"/>
        </w:rPr>
        <w:t>办公室、人事科、财统科、监察科四个科室</w:t>
      </w:r>
      <w:r>
        <w:rPr>
          <w:sz w:val="28"/>
          <w:szCs w:val="28"/>
        </w:rPr>
        <w:t xml:space="preserve"> 。</w:t>
      </w:r>
    </w:p>
    <w:p>
      <w:pPr>
        <w:spacing w:after="0" w:line="520" w:lineRule="exact"/>
        <w:ind w:firstLine="560" w:firstLineChars="200"/>
        <w:rPr>
          <w:sz w:val="28"/>
          <w:szCs w:val="28"/>
        </w:rPr>
      </w:pPr>
      <w:r>
        <w:rPr>
          <w:sz w:val="28"/>
          <w:szCs w:val="28"/>
        </w:rPr>
        <w:t>本部门无下属单位</w:t>
      </w:r>
      <w:r>
        <w:rPr>
          <w:rFonts w:hint="eastAsia"/>
          <w:sz w:val="28"/>
          <w:szCs w:val="28"/>
        </w:rPr>
        <w:t>。</w:t>
      </w:r>
    </w:p>
    <w:p>
      <w:pPr>
        <w:spacing w:after="0" w:line="520" w:lineRule="exact"/>
        <w:ind w:firstLine="560" w:firstLineChars="200"/>
        <w:rPr>
          <w:sz w:val="28"/>
          <w:szCs w:val="28"/>
        </w:rPr>
      </w:pPr>
      <w:r>
        <w:rPr>
          <w:sz w:val="28"/>
          <w:szCs w:val="28"/>
        </w:rPr>
        <w:t>2. 从决算单位构成看，纳入</w:t>
      </w:r>
      <w:r>
        <w:rPr>
          <w:rFonts w:hint="eastAsia"/>
          <w:sz w:val="28"/>
          <w:szCs w:val="28"/>
        </w:rPr>
        <w:t>平顺县供销合作社联合社</w:t>
      </w:r>
      <w:r>
        <w:rPr>
          <w:sz w:val="28"/>
          <w:szCs w:val="28"/>
        </w:rPr>
        <w:t>20</w:t>
      </w:r>
      <w:r>
        <w:rPr>
          <w:rFonts w:hint="eastAsia"/>
          <w:sz w:val="28"/>
          <w:szCs w:val="28"/>
        </w:rPr>
        <w:t>21</w:t>
      </w:r>
      <w:r>
        <w:rPr>
          <w:sz w:val="28"/>
          <w:szCs w:val="28"/>
        </w:rPr>
        <w:t>年部门汇总决算编制范围的预算单位共计</w:t>
      </w:r>
      <w:r>
        <w:rPr>
          <w:rFonts w:hint="eastAsia"/>
          <w:sz w:val="28"/>
          <w:szCs w:val="28"/>
        </w:rPr>
        <w:t>1</w:t>
      </w:r>
      <w:r>
        <w:rPr>
          <w:sz w:val="28"/>
          <w:szCs w:val="28"/>
        </w:rPr>
        <w:t>家，具体包括：</w:t>
      </w:r>
      <w:r>
        <w:rPr>
          <w:rFonts w:hint="eastAsia"/>
          <w:sz w:val="28"/>
          <w:szCs w:val="28"/>
        </w:rPr>
        <w:t>平顺县供销合作社联合社</w:t>
      </w:r>
      <w:r>
        <w:rPr>
          <w:sz w:val="28"/>
          <w:szCs w:val="28"/>
        </w:rPr>
        <w:t>。</w:t>
      </w:r>
    </w:p>
    <w:p>
      <w:pPr>
        <w:spacing w:after="0" w:line="520" w:lineRule="exact"/>
        <w:ind w:firstLine="560" w:firstLineChars="200"/>
        <w:rPr>
          <w:sz w:val="28"/>
          <w:szCs w:val="28"/>
        </w:rPr>
      </w:pPr>
      <w:r>
        <w:rPr>
          <w:rFonts w:hint="eastAsia"/>
          <w:sz w:val="28"/>
          <w:szCs w:val="28"/>
        </w:rPr>
        <w:t>三、年度工作计划及执行情况</w:t>
      </w:r>
    </w:p>
    <w:p>
      <w:pPr>
        <w:spacing w:after="0" w:line="520" w:lineRule="exact"/>
        <w:ind w:firstLine="560" w:firstLineChars="200"/>
        <w:rPr>
          <w:sz w:val="28"/>
          <w:szCs w:val="28"/>
        </w:rPr>
      </w:pPr>
      <w:r>
        <w:rPr>
          <w:rFonts w:hint="eastAsia"/>
          <w:sz w:val="28"/>
          <w:szCs w:val="28"/>
        </w:rPr>
        <w:t xml:space="preserve"> 1、加强基层组织体系建设</w:t>
      </w:r>
    </w:p>
    <w:p>
      <w:pPr>
        <w:spacing w:after="0" w:line="520" w:lineRule="exact"/>
        <w:ind w:firstLine="560" w:firstLineChars="200"/>
        <w:rPr>
          <w:sz w:val="28"/>
          <w:szCs w:val="28"/>
        </w:rPr>
      </w:pPr>
      <w:r>
        <w:rPr>
          <w:rFonts w:hint="eastAsia"/>
          <w:sz w:val="28"/>
          <w:szCs w:val="28"/>
        </w:rPr>
        <w:t>乡镇为农服务综合体建设情况：依托中五井基层供销社建设乡镇为农服务综合体，打造功能齐全、设施齐全、机制健全、运行高效的乡镇为农服务综合体，目前该项目已经完成。</w:t>
      </w:r>
    </w:p>
    <w:p>
      <w:pPr>
        <w:spacing w:after="0" w:line="520" w:lineRule="exact"/>
        <w:ind w:firstLine="560" w:firstLineChars="200"/>
        <w:rPr>
          <w:sz w:val="28"/>
          <w:szCs w:val="28"/>
        </w:rPr>
      </w:pPr>
      <w:r>
        <w:rPr>
          <w:rFonts w:hint="eastAsia"/>
          <w:sz w:val="28"/>
          <w:szCs w:val="28"/>
        </w:rPr>
        <w:t>基层社改造情况：平顺县玉峡关基层社改造提升项目建设单位为平顺县初心源供销服务有限公司，项目实施地点为玉峡关镇玉峡关村中心，原玉峡关供销社院内。该项目申请财政资金26万元，项目内容包括新建南楼厨房与小厕所15㎡、南楼供电线路改造180.4㎡、地面改造635㎡、新建公共厕所19㎡。目前该项目已经按照可研要求全部完工。项目建成可增加5—10个就业岗位，同时带动周边经济发展，基层社阵地面貌有了根本性改变。</w:t>
      </w:r>
    </w:p>
    <w:p>
      <w:pPr>
        <w:spacing w:after="0" w:line="520" w:lineRule="exact"/>
        <w:ind w:firstLine="560" w:firstLineChars="200"/>
        <w:rPr>
          <w:sz w:val="28"/>
          <w:szCs w:val="28"/>
        </w:rPr>
      </w:pPr>
      <w:r>
        <w:rPr>
          <w:rFonts w:hint="eastAsia"/>
          <w:sz w:val="28"/>
          <w:szCs w:val="28"/>
        </w:rPr>
        <w:t>农民专业合作社建设情况：10个专业合作社和1个专业合作社联合社已全部建设完成，均采用“合作社+农户”的模式，以合作社为载体，在技术、销售、管理等各个方面加强统筹，助农增收20万元。</w:t>
      </w:r>
    </w:p>
    <w:p>
      <w:pPr>
        <w:spacing w:after="0" w:line="520" w:lineRule="exact"/>
        <w:ind w:firstLine="560" w:firstLineChars="200"/>
        <w:rPr>
          <w:sz w:val="28"/>
          <w:szCs w:val="28"/>
        </w:rPr>
      </w:pPr>
      <w:r>
        <w:rPr>
          <w:rFonts w:hint="eastAsia"/>
          <w:sz w:val="28"/>
          <w:szCs w:val="28"/>
        </w:rPr>
        <w:t>2、健全农业社会化服务体系</w:t>
      </w:r>
    </w:p>
    <w:p>
      <w:pPr>
        <w:spacing w:after="0" w:line="520" w:lineRule="exact"/>
        <w:ind w:firstLine="560" w:firstLineChars="200"/>
        <w:rPr>
          <w:sz w:val="28"/>
          <w:szCs w:val="28"/>
        </w:rPr>
      </w:pPr>
      <w:r>
        <w:rPr>
          <w:rFonts w:hint="eastAsia"/>
          <w:sz w:val="28"/>
          <w:szCs w:val="28"/>
        </w:rPr>
        <w:t>平顺县社把为农服务放在首位，以抓好惠农服务中心和惠农服务站项目建设为基础，扩展为农服务内容延伸，全方位、全过程参与农业社会化服务体系。新建平顺县青羊镇惠农服务中心，该惠农服务中心位于青羊镇大渠村郭和自然庄，围绕我县中药材主导产业，延伸惠农服务中心业务，目前已经基本建设完成。新建苗庄惠农服务站，提升库峧惠农服务站，改造提升后的服务中心和惠农服务站在农资供应、农产品流通、土地服务等服务功能上更加完善和规范。截至目前：全县供销系统完成土地托管面积7000亩，全托1000亩、土地服务面积12000亩，农业社会化服务面积11000亩，服务农户1200户，助农增收10万元。</w:t>
      </w:r>
    </w:p>
    <w:p>
      <w:pPr>
        <w:spacing w:after="0" w:line="520" w:lineRule="exact"/>
        <w:ind w:firstLine="560" w:firstLineChars="200"/>
        <w:rPr>
          <w:sz w:val="28"/>
          <w:szCs w:val="28"/>
        </w:rPr>
      </w:pPr>
      <w:r>
        <w:rPr>
          <w:rFonts w:hint="eastAsia"/>
          <w:sz w:val="28"/>
          <w:szCs w:val="28"/>
        </w:rPr>
        <w:t>3、农村现代物流体系建设</w:t>
      </w:r>
    </w:p>
    <w:p>
      <w:pPr>
        <w:spacing w:after="0" w:line="520" w:lineRule="exact"/>
        <w:ind w:firstLine="560" w:firstLineChars="200"/>
        <w:rPr>
          <w:sz w:val="28"/>
          <w:szCs w:val="28"/>
        </w:rPr>
      </w:pPr>
      <w:r>
        <w:rPr>
          <w:rFonts w:hint="eastAsia"/>
          <w:sz w:val="28"/>
          <w:szCs w:val="28"/>
        </w:rPr>
        <w:t>平顺县“供销到家”仓储物流体系建设项目建设单位为平顺县中五井基层供销社，项目实施地点为城关镇中五井村中心,该项目总投资75.59万元，其中申请财政专项资金36万元，自筹39.59万元，项目建设内容为新建南院分拣库房375㎡、新建两个北院分拣库房分别为111.6㎡和46.5㎡、供销到家物流站点装修80㎡、恒温库100m³、购置3.05m单轿厢货车3辆、3.75m双轿厢货车1辆、立式空调2台。目前该项目已全部完成。在县城繁华地段，高标准打造线下2处“供销到家”实体店铺，陈列平顺特色农产品、便民特色新鲜蔬菜等产品；在县域200人口以上的行政村设置“供销到家”服务便民店，并开发城乡生鲜配送平台手机APP，每日平台配送蔬菜、水果、肉蛋等生鲜产品，订单量超万元。同时，在脱贫攻坚和乡村振兴衔接期，利用“供销到家”带动大红袍花椒、小米、党参等农产品上行近300万元，助农增收效果明显。</w:t>
      </w:r>
    </w:p>
    <w:p>
      <w:pPr>
        <w:spacing w:after="0" w:line="520" w:lineRule="exact"/>
        <w:ind w:firstLine="560" w:firstLineChars="200"/>
        <w:rPr>
          <w:sz w:val="28"/>
          <w:szCs w:val="28"/>
        </w:rPr>
      </w:pPr>
      <w:r>
        <w:rPr>
          <w:rFonts w:hint="eastAsia"/>
          <w:sz w:val="28"/>
          <w:szCs w:val="28"/>
        </w:rPr>
        <w:t>4、弘扬供销劳模精神，挖掘系统模范人物</w:t>
      </w:r>
    </w:p>
    <w:p>
      <w:pPr>
        <w:spacing w:after="0" w:line="520" w:lineRule="exact"/>
        <w:ind w:firstLine="560" w:firstLineChars="200"/>
        <w:rPr>
          <w:sz w:val="28"/>
          <w:szCs w:val="28"/>
        </w:rPr>
      </w:pPr>
      <w:r>
        <w:rPr>
          <w:rFonts w:hint="eastAsia"/>
          <w:sz w:val="28"/>
          <w:szCs w:val="28"/>
        </w:rPr>
        <w:t>今年以来，县供销系统积极挖掘宣传石城镇岳家寨村双代店岳晚增供销劳模精神，协助县委在全县开展向岳晚增同志学习的活动，出台《关于开展向岳晚增同志学习活动的决定》（平字〔2021〕25号）文件，提升了系统工作软实力，收到了良好的社会效果。</w:t>
      </w:r>
    </w:p>
    <w:p>
      <w:pPr>
        <w:spacing w:after="0" w:line="520" w:lineRule="exact"/>
        <w:rPr>
          <w:b/>
          <w:sz w:val="28"/>
          <w:szCs w:val="28"/>
        </w:rPr>
      </w:pPr>
      <w:r>
        <w:rPr>
          <w:rFonts w:hint="eastAsia"/>
          <w:b/>
          <w:sz w:val="28"/>
          <w:szCs w:val="28"/>
        </w:rPr>
        <w:t>第二部分 2021年度部门决算报表（见附表1）</w:t>
      </w:r>
    </w:p>
    <w:p>
      <w:pPr>
        <w:spacing w:after="0" w:line="520" w:lineRule="exact"/>
        <w:rPr>
          <w:sz w:val="28"/>
          <w:szCs w:val="28"/>
        </w:rPr>
      </w:pPr>
      <w:r>
        <w:rPr>
          <w:rFonts w:hint="eastAsia"/>
          <w:sz w:val="28"/>
          <w:szCs w:val="28"/>
        </w:rPr>
        <w:t>一、收入支出决算总表</w:t>
      </w:r>
    </w:p>
    <w:p>
      <w:pPr>
        <w:spacing w:after="0" w:line="520" w:lineRule="exact"/>
        <w:rPr>
          <w:sz w:val="28"/>
          <w:szCs w:val="28"/>
        </w:rPr>
      </w:pPr>
      <w:r>
        <w:rPr>
          <w:rFonts w:hint="eastAsia"/>
          <w:sz w:val="28"/>
          <w:szCs w:val="28"/>
        </w:rPr>
        <w:t>二、收入决算表</w:t>
      </w:r>
    </w:p>
    <w:p>
      <w:pPr>
        <w:spacing w:after="0" w:line="520" w:lineRule="exact"/>
        <w:rPr>
          <w:sz w:val="28"/>
          <w:szCs w:val="28"/>
        </w:rPr>
      </w:pPr>
      <w:r>
        <w:rPr>
          <w:rFonts w:hint="eastAsia"/>
          <w:sz w:val="28"/>
          <w:szCs w:val="28"/>
        </w:rPr>
        <w:t>三、支出决算表</w:t>
      </w:r>
    </w:p>
    <w:p>
      <w:pPr>
        <w:spacing w:after="0" w:line="520" w:lineRule="exact"/>
        <w:rPr>
          <w:sz w:val="28"/>
          <w:szCs w:val="28"/>
        </w:rPr>
      </w:pPr>
      <w:r>
        <w:rPr>
          <w:rFonts w:hint="eastAsia"/>
          <w:sz w:val="28"/>
          <w:szCs w:val="28"/>
        </w:rPr>
        <w:t>四、财政拨款收入支出决算总表</w:t>
      </w:r>
    </w:p>
    <w:p>
      <w:pPr>
        <w:spacing w:after="0" w:line="520" w:lineRule="exact"/>
        <w:rPr>
          <w:sz w:val="28"/>
          <w:szCs w:val="28"/>
        </w:rPr>
      </w:pPr>
      <w:r>
        <w:rPr>
          <w:rFonts w:hint="eastAsia"/>
          <w:sz w:val="28"/>
          <w:szCs w:val="28"/>
        </w:rPr>
        <w:t>五、一般公共预算财政拨款支出决算表（一）</w:t>
      </w:r>
    </w:p>
    <w:p>
      <w:pPr>
        <w:spacing w:after="0" w:line="520" w:lineRule="exact"/>
        <w:rPr>
          <w:sz w:val="28"/>
          <w:szCs w:val="28"/>
        </w:rPr>
      </w:pPr>
      <w:r>
        <w:rPr>
          <w:rFonts w:hint="eastAsia"/>
          <w:sz w:val="28"/>
          <w:szCs w:val="28"/>
        </w:rPr>
        <w:t>六、一般公共预算财政拨款支出决算表（二）</w:t>
      </w:r>
    </w:p>
    <w:p>
      <w:pPr>
        <w:spacing w:after="0" w:line="520" w:lineRule="exact"/>
        <w:rPr>
          <w:sz w:val="28"/>
          <w:szCs w:val="28"/>
        </w:rPr>
      </w:pPr>
      <w:r>
        <w:rPr>
          <w:rFonts w:hint="eastAsia"/>
          <w:sz w:val="28"/>
          <w:szCs w:val="28"/>
        </w:rPr>
        <w:t>七、一般公共预算财政拨款“三公”经费支出决算表</w:t>
      </w:r>
    </w:p>
    <w:p>
      <w:pPr>
        <w:spacing w:after="0" w:line="520" w:lineRule="exact"/>
        <w:rPr>
          <w:sz w:val="28"/>
          <w:szCs w:val="28"/>
        </w:rPr>
      </w:pPr>
      <w:r>
        <w:rPr>
          <w:rFonts w:hint="eastAsia"/>
          <w:sz w:val="28"/>
          <w:szCs w:val="28"/>
        </w:rPr>
        <w:t>八、政府性基金预算财政拨款收入支出决算表</w:t>
      </w:r>
    </w:p>
    <w:p>
      <w:pPr>
        <w:spacing w:after="0" w:line="520" w:lineRule="exact"/>
        <w:rPr>
          <w:sz w:val="28"/>
          <w:szCs w:val="28"/>
        </w:rPr>
      </w:pPr>
      <w:r>
        <w:rPr>
          <w:rFonts w:hint="eastAsia"/>
          <w:sz w:val="28"/>
          <w:szCs w:val="28"/>
        </w:rPr>
        <w:t>九、国有资本经营预算财政拨款支出决算表</w:t>
      </w:r>
    </w:p>
    <w:p>
      <w:pPr>
        <w:spacing w:after="0" w:line="520" w:lineRule="exact"/>
        <w:rPr>
          <w:sz w:val="28"/>
          <w:szCs w:val="28"/>
        </w:rPr>
      </w:pPr>
      <w:r>
        <w:rPr>
          <w:rFonts w:hint="eastAsia"/>
          <w:sz w:val="28"/>
          <w:szCs w:val="28"/>
        </w:rPr>
        <w:t>十、部门决算公开相关信息统计表</w:t>
      </w:r>
    </w:p>
    <w:p>
      <w:pPr>
        <w:spacing w:after="0" w:line="520" w:lineRule="exact"/>
        <w:ind w:firstLine="420" w:firstLineChars="150"/>
        <w:rPr>
          <w:sz w:val="28"/>
          <w:szCs w:val="28"/>
        </w:rPr>
      </w:pPr>
      <w:r>
        <w:rPr>
          <w:rFonts w:hint="eastAsia"/>
          <w:sz w:val="28"/>
          <w:szCs w:val="28"/>
        </w:rPr>
        <w:t>（注：平顺县供销合作社联合社部门没有使用一般公共预算财政拨款“三公”经费安排的支出</w:t>
      </w:r>
      <w:r>
        <w:rPr>
          <w:rFonts w:hint="eastAsia"/>
          <w:sz w:val="28"/>
          <w:szCs w:val="28"/>
          <w:lang w:eastAsia="zh-CN"/>
        </w:rPr>
        <w:t>、</w:t>
      </w:r>
      <w:r>
        <w:rPr>
          <w:rFonts w:hint="eastAsia"/>
          <w:sz w:val="28"/>
          <w:szCs w:val="28"/>
        </w:rPr>
        <w:t>政府性基金预算财政拨款安排收入支出</w:t>
      </w:r>
      <w:r>
        <w:rPr>
          <w:rFonts w:hint="eastAsia"/>
          <w:sz w:val="28"/>
          <w:szCs w:val="28"/>
          <w:lang w:eastAsia="zh-CN"/>
        </w:rPr>
        <w:t>和</w:t>
      </w:r>
      <w:r>
        <w:rPr>
          <w:rFonts w:hint="eastAsia"/>
          <w:sz w:val="28"/>
          <w:szCs w:val="28"/>
        </w:rPr>
        <w:t>国有资本经营预算安排的支出，故无数据。）</w:t>
      </w:r>
    </w:p>
    <w:p>
      <w:pPr>
        <w:spacing w:after="0" w:line="520" w:lineRule="exact"/>
        <w:rPr>
          <w:sz w:val="28"/>
          <w:szCs w:val="28"/>
        </w:rPr>
      </w:pPr>
      <w:r>
        <w:rPr>
          <w:rFonts w:hint="eastAsia"/>
          <w:b/>
          <w:sz w:val="28"/>
          <w:szCs w:val="28"/>
        </w:rPr>
        <w:t>第三部分 2021年度部门决算情况说明</w:t>
      </w:r>
    </w:p>
    <w:p>
      <w:pPr>
        <w:spacing w:after="0" w:line="520" w:lineRule="exact"/>
        <w:ind w:firstLine="560" w:firstLineChars="200"/>
        <w:rPr>
          <w:b/>
          <w:sz w:val="28"/>
          <w:szCs w:val="28"/>
        </w:rPr>
      </w:pPr>
      <w:r>
        <w:rPr>
          <w:rFonts w:hint="eastAsia"/>
          <w:b/>
          <w:sz w:val="28"/>
          <w:szCs w:val="28"/>
        </w:rPr>
        <w:t>一、收入支出决算总体情况说明</w:t>
      </w:r>
    </w:p>
    <w:p>
      <w:pPr>
        <w:spacing w:after="0" w:line="520" w:lineRule="exact"/>
        <w:ind w:firstLine="560" w:firstLineChars="200"/>
        <w:rPr>
          <w:sz w:val="28"/>
          <w:szCs w:val="28"/>
        </w:rPr>
      </w:pPr>
      <w:r>
        <w:rPr>
          <w:rFonts w:hint="eastAsia"/>
          <w:sz w:val="28"/>
          <w:szCs w:val="28"/>
        </w:rPr>
        <w:t>2021年度收入总计158.34万元、支出总计158.34万元。与上年相比，收入总计增加63.7万元，增加67.3%，支出总计减少1.91万元，减少1.19%。主要原因是：1、收入增加是因为2021年度增加了省级培育壮大工程项目资金。2、支出减少是因为项目资金比上年有所减少。</w:t>
      </w:r>
    </w:p>
    <w:p>
      <w:pPr>
        <w:spacing w:after="0" w:line="520" w:lineRule="exact"/>
        <w:ind w:firstLine="560" w:firstLineChars="200"/>
        <w:rPr>
          <w:b/>
          <w:sz w:val="28"/>
          <w:szCs w:val="28"/>
        </w:rPr>
      </w:pPr>
      <w:r>
        <w:rPr>
          <w:rFonts w:hint="eastAsia"/>
          <w:b/>
          <w:sz w:val="28"/>
          <w:szCs w:val="28"/>
        </w:rPr>
        <w:t>二、收入决算情况说明</w:t>
      </w:r>
    </w:p>
    <w:p>
      <w:pPr>
        <w:spacing w:after="0" w:line="520" w:lineRule="exact"/>
        <w:ind w:firstLine="560" w:firstLineChars="200"/>
        <w:rPr>
          <w:sz w:val="28"/>
          <w:szCs w:val="28"/>
        </w:rPr>
      </w:pPr>
      <w:r>
        <w:rPr>
          <w:rFonts w:hint="eastAsia"/>
          <w:sz w:val="28"/>
          <w:szCs w:val="28"/>
        </w:rPr>
        <w:t>2021年度收入合计158.34万元，其中：财政拨款收入158.34万元，占比100%；上级补助收入0万元，占比0%；事业收入0万元，占比0%；经营收入0万元，占比0%；附属单位上缴收入0万元，占比0%；其他收入0万元，占比0%。</w:t>
      </w:r>
    </w:p>
    <w:p>
      <w:pPr>
        <w:spacing w:after="0" w:line="520" w:lineRule="exact"/>
        <w:ind w:firstLine="560" w:firstLineChars="200"/>
        <w:rPr>
          <w:b/>
          <w:sz w:val="28"/>
          <w:szCs w:val="28"/>
        </w:rPr>
      </w:pPr>
      <w:r>
        <w:rPr>
          <w:rFonts w:hint="eastAsia"/>
          <w:b/>
          <w:sz w:val="28"/>
          <w:szCs w:val="28"/>
        </w:rPr>
        <w:t>三、支出决算情况说明</w:t>
      </w:r>
    </w:p>
    <w:p>
      <w:pPr>
        <w:spacing w:after="0" w:line="520" w:lineRule="exact"/>
        <w:ind w:firstLine="560" w:firstLineChars="200"/>
        <w:rPr>
          <w:sz w:val="28"/>
          <w:szCs w:val="28"/>
        </w:rPr>
      </w:pPr>
      <w:r>
        <w:rPr>
          <w:rFonts w:hint="eastAsia"/>
          <w:sz w:val="28"/>
          <w:szCs w:val="28"/>
        </w:rPr>
        <w:t>2021年度支出合计158.34万元，其中：基本支出96.34万元，占比60.84%；项目支出62万元，占比39.16%；上缴上级支出0万元，占比0%，经营支出0万元，占比0%， 对附属单位补助支出0万元，占比0%。</w:t>
      </w:r>
    </w:p>
    <w:p>
      <w:pPr>
        <w:spacing w:after="0" w:line="520" w:lineRule="exact"/>
        <w:ind w:firstLine="560" w:firstLineChars="200"/>
        <w:rPr>
          <w:b/>
          <w:sz w:val="28"/>
          <w:szCs w:val="28"/>
        </w:rPr>
      </w:pPr>
      <w:r>
        <w:rPr>
          <w:rFonts w:hint="eastAsia"/>
          <w:b/>
          <w:sz w:val="28"/>
          <w:szCs w:val="28"/>
        </w:rPr>
        <w:t>四、财政拨款收入支出决算总体情况说明</w:t>
      </w:r>
    </w:p>
    <w:p>
      <w:pPr>
        <w:spacing w:after="0" w:line="520" w:lineRule="exact"/>
        <w:ind w:firstLine="560" w:firstLineChars="200"/>
        <w:rPr>
          <w:sz w:val="28"/>
          <w:szCs w:val="28"/>
        </w:rPr>
      </w:pPr>
      <w:r>
        <w:rPr>
          <w:rFonts w:hint="eastAsia"/>
          <w:sz w:val="28"/>
          <w:szCs w:val="28"/>
        </w:rPr>
        <w:t>2021年度财政拨款收入总计158.34万元、支出总计158.34万元。与上年相比，财政拨款收入总计增加64.2万元，增加68.20%，财政拨款支出总计减少1.91万元，减少1.19%。主要原因是：1、收入增加是因为2021年度增加了省级培育壮大工程项目资金。2、支出减少是因为项目资金比上年有所减少。</w:t>
      </w:r>
    </w:p>
    <w:p>
      <w:pPr>
        <w:spacing w:after="0" w:line="520" w:lineRule="exact"/>
        <w:ind w:firstLine="560" w:firstLineChars="200"/>
        <w:rPr>
          <w:b/>
          <w:sz w:val="28"/>
          <w:szCs w:val="28"/>
        </w:rPr>
      </w:pPr>
      <w:r>
        <w:rPr>
          <w:rFonts w:hint="eastAsia"/>
          <w:b/>
          <w:sz w:val="28"/>
          <w:szCs w:val="28"/>
        </w:rPr>
        <w:t>五、一般公共预算财政拨款支出决算情况说明</w:t>
      </w:r>
    </w:p>
    <w:p>
      <w:pPr>
        <w:spacing w:after="0" w:line="520" w:lineRule="exact"/>
        <w:ind w:firstLine="420" w:firstLineChars="150"/>
        <w:rPr>
          <w:b/>
          <w:sz w:val="28"/>
          <w:szCs w:val="28"/>
        </w:rPr>
      </w:pPr>
      <w:r>
        <w:rPr>
          <w:rFonts w:hint="eastAsia"/>
          <w:b/>
          <w:sz w:val="28"/>
          <w:szCs w:val="28"/>
        </w:rPr>
        <w:t>（一）财政拨款支出决算总体情况</w:t>
      </w:r>
    </w:p>
    <w:p>
      <w:pPr>
        <w:spacing w:after="0" w:line="520" w:lineRule="exact"/>
        <w:ind w:firstLine="560" w:firstLineChars="200"/>
        <w:rPr>
          <w:sz w:val="28"/>
          <w:szCs w:val="28"/>
        </w:rPr>
      </w:pPr>
      <w:r>
        <w:rPr>
          <w:rFonts w:hint="eastAsia"/>
          <w:sz w:val="28"/>
          <w:szCs w:val="28"/>
        </w:rPr>
        <w:t>2021年度财政拨款支出158.34万元，占本年支出合计的100%。与上年相比，财政拨款支出减少1.91万元，减少1.19%。主要原因是因为项目资金比上年有所减少。其中，人员经费81.62万元，占比51.55%， 日常公用经费14.72万元，占比9.30%。</w:t>
      </w:r>
    </w:p>
    <w:p>
      <w:pPr>
        <w:spacing w:after="0" w:line="520" w:lineRule="exact"/>
        <w:ind w:firstLine="420" w:firstLineChars="150"/>
        <w:rPr>
          <w:b/>
          <w:sz w:val="28"/>
          <w:szCs w:val="28"/>
        </w:rPr>
      </w:pPr>
      <w:r>
        <w:rPr>
          <w:rFonts w:hint="eastAsia"/>
          <w:b/>
          <w:sz w:val="28"/>
          <w:szCs w:val="28"/>
        </w:rPr>
        <w:t>（二）财政拨款支出决算结构情况</w:t>
      </w:r>
    </w:p>
    <w:p>
      <w:pPr>
        <w:spacing w:after="0" w:line="520" w:lineRule="exact"/>
        <w:ind w:firstLine="560" w:firstLineChars="200"/>
        <w:rPr>
          <w:sz w:val="28"/>
          <w:szCs w:val="28"/>
        </w:rPr>
      </w:pPr>
      <w:r>
        <w:rPr>
          <w:rFonts w:hint="eastAsia"/>
          <w:sz w:val="28"/>
          <w:szCs w:val="28"/>
        </w:rPr>
        <w:t>2021年度财政拨款支出158.34万元，主要用于以下方面：一般公共服务（类）支出1.07万元，占0.67%；外交（类）支出0万元，占0%；国防（类）支出0万元，占0%；公共安全（类）支出0万元，占0%；教育（类）支出0万元，占0%；科学技术（类）支出0万元，占0%；文化旅游体育与传媒（类）支出0万元，占0%；社会保障和就业（类）支出10.44万元，</w:t>
      </w:r>
      <w:r>
        <w:rPr>
          <w:sz w:val="28"/>
          <w:szCs w:val="28"/>
        </w:rPr>
        <w:t xml:space="preserve"> </w:t>
      </w:r>
      <w:r>
        <w:rPr>
          <w:rFonts w:hint="eastAsia"/>
          <w:sz w:val="28"/>
          <w:szCs w:val="28"/>
        </w:rPr>
        <w:t>占6.59%；卫生健康（类）支出3.80万元，占2.40%；节能环保（类）支出0万元，占0%；城乡社区（类）支出0万元，占0%；农林水（类）支出0万元，占0%；交通运输（类）支出0万元，占0%；资源勘探工业信息等（类）支出0万元，占0%；商业服务业等（类）支出136万元，占85.89%；金融（类）支出0万元，占0%；援助其他地区（类）支出0万元，占0%；自然资源海洋气象等（类）支出0万元，占0%；住房保障（类）支出7.03万元，占4.44%；粮油物资储备（类）支出0万元，占0%；国有资本经营预算（类）支出0万元，占0%；灾害防治及应急管理（类）支出0万元，占0%；其（类）支出0万元，占0%；债务还本（类）支出0万元，占0%；债务付息（类）支出0万元，占0%；抗疫特别国债安排（类）支出0万元，占0%。</w:t>
      </w:r>
    </w:p>
    <w:p>
      <w:pPr>
        <w:spacing w:after="0" w:line="520" w:lineRule="exact"/>
        <w:ind w:firstLine="420" w:firstLineChars="150"/>
        <w:rPr>
          <w:b/>
          <w:sz w:val="28"/>
          <w:szCs w:val="28"/>
        </w:rPr>
      </w:pPr>
      <w:r>
        <w:rPr>
          <w:rFonts w:hint="eastAsia"/>
          <w:b/>
          <w:sz w:val="28"/>
          <w:szCs w:val="28"/>
        </w:rPr>
        <w:t>（三）财政拨款支出决算具体情况</w:t>
      </w:r>
    </w:p>
    <w:p>
      <w:pPr>
        <w:spacing w:after="0" w:line="520" w:lineRule="exact"/>
        <w:ind w:firstLine="560" w:firstLineChars="200"/>
        <w:rPr>
          <w:rFonts w:hint="eastAsia"/>
          <w:sz w:val="28"/>
          <w:szCs w:val="28"/>
        </w:rPr>
      </w:pPr>
      <w:r>
        <w:rPr>
          <w:rFonts w:hint="eastAsia"/>
          <w:sz w:val="28"/>
          <w:szCs w:val="28"/>
        </w:rPr>
        <w:t>2021年度财政拨款支出年初预算93.28万元，支出决算158.34万元，完成年初预算的169.75%。其中：</w:t>
      </w:r>
    </w:p>
    <w:p>
      <w:pPr>
        <w:spacing w:after="0" w:line="520" w:lineRule="exact"/>
        <w:ind w:firstLine="560" w:firstLineChars="200"/>
        <w:rPr>
          <w:rFonts w:hint="eastAsia"/>
          <w:sz w:val="28"/>
          <w:szCs w:val="28"/>
          <w:lang w:val="en-US" w:eastAsia="zh-CN"/>
        </w:rPr>
      </w:pPr>
      <w:r>
        <w:rPr>
          <w:rFonts w:hint="eastAsia"/>
          <w:sz w:val="28"/>
          <w:szCs w:val="28"/>
        </w:rPr>
        <w:t>一般公共服务支出年初预算1.07万元，支出决算1.07万元，完成年初预算的100%，用于发放职工全年节日福利费用。较上年决算减少0.01万元，减少0.92%，主要原因2020年的支出中包括有少数的上年结余;社会保障和就业支出年初预算9.32万元，支出决算10.44万元，完成年初预算的112.02%，用于财政配套养老保险的支出。较上年决算增加2.92万元，增长38.83%，主要原因是我单位有一人补缴了近两年的财政配套养老保险; 卫生健康支出年初预算3.79万元，支出决算3.80万元，完成年初预算的100.26%，用于财政配套医疗保险的支出。较上年决算减少0.29万元，减少7.09%，主要原因是人员变动，工资总额发生变动，财政配套医疗保险总数也在发生改变; 商业服务业等支出年初预算72.05万元，支出决算136万元，完成年初预算的188.76%，用于单位日常办公经费支出和项目支出等。较上年决算减少4.25万元，减少3.03%，主要原因项目资金比上年有所减少;住房保障支出年初预算7.05万元，支出决算7.03万元，完成年初预算的99.72%，用于财政配套住房公积金的支出。较上年决算减少0.28万元，减少3.83%，主要原因人员变动，工资总额发生变动，财政配套住房公积金也发生了变化。</w:t>
      </w:r>
      <w:r>
        <w:rPr>
          <w:rFonts w:hint="eastAsia"/>
          <w:sz w:val="28"/>
          <w:szCs w:val="28"/>
          <w:lang w:val="en-US" w:eastAsia="zh-CN"/>
        </w:rPr>
        <w:t xml:space="preserve"> </w:t>
      </w:r>
    </w:p>
    <w:p>
      <w:pPr>
        <w:spacing w:after="0" w:line="520" w:lineRule="exact"/>
        <w:ind w:firstLine="560" w:firstLineChars="200"/>
        <w:rPr>
          <w:b/>
          <w:sz w:val="28"/>
          <w:szCs w:val="28"/>
        </w:rPr>
      </w:pPr>
      <w:r>
        <w:rPr>
          <w:rFonts w:hint="eastAsia"/>
          <w:b/>
          <w:sz w:val="28"/>
          <w:szCs w:val="28"/>
        </w:rPr>
        <w:t>六、一般公共预算财政拨款基本支出决算情况说明</w:t>
      </w:r>
    </w:p>
    <w:p>
      <w:pPr>
        <w:spacing w:after="0" w:line="520" w:lineRule="exact"/>
        <w:ind w:firstLine="560" w:firstLineChars="200"/>
        <w:rPr>
          <w:sz w:val="28"/>
          <w:szCs w:val="28"/>
        </w:rPr>
      </w:pPr>
      <w:r>
        <w:rPr>
          <w:rFonts w:hint="eastAsia"/>
          <w:sz w:val="28"/>
          <w:szCs w:val="28"/>
        </w:rPr>
        <w:t>2021年度财政拨款基本支出96.34万元，其中：人员经费81.62万元，主要包括基本养老、工伤、医疗保险支出、工资、公积金等支出；公用经费14.72万元，主要包括办公费、水费、电费、差旅费、邮电费、维修费等支出。</w:t>
      </w:r>
    </w:p>
    <w:p>
      <w:pPr>
        <w:spacing w:after="0" w:line="520" w:lineRule="exact"/>
        <w:ind w:firstLine="560" w:firstLineChars="200"/>
        <w:rPr>
          <w:b/>
          <w:sz w:val="28"/>
          <w:szCs w:val="28"/>
        </w:rPr>
      </w:pPr>
      <w:r>
        <w:rPr>
          <w:rFonts w:hint="eastAsia"/>
          <w:b/>
          <w:sz w:val="28"/>
          <w:szCs w:val="28"/>
        </w:rPr>
        <w:t>七、一般公共预算财政拨款“三公”经费支出决算情况说明</w:t>
      </w:r>
    </w:p>
    <w:p>
      <w:pPr>
        <w:spacing w:after="0" w:line="520" w:lineRule="exact"/>
        <w:ind w:firstLine="560" w:firstLineChars="200"/>
        <w:rPr>
          <w:b/>
          <w:sz w:val="28"/>
          <w:szCs w:val="28"/>
        </w:rPr>
      </w:pPr>
      <w:r>
        <w:rPr>
          <w:rFonts w:hint="eastAsia"/>
          <w:b/>
          <w:sz w:val="28"/>
          <w:szCs w:val="28"/>
        </w:rPr>
        <w:t>（一）“三公”经费财政拨款支出决算总体情况说明。</w:t>
      </w:r>
    </w:p>
    <w:p>
      <w:pPr>
        <w:spacing w:after="0" w:line="520" w:lineRule="exact"/>
        <w:ind w:firstLine="560" w:firstLineChars="200"/>
        <w:rPr>
          <w:sz w:val="28"/>
          <w:szCs w:val="28"/>
        </w:rPr>
      </w:pPr>
      <w:r>
        <w:rPr>
          <w:rFonts w:hint="eastAsia"/>
          <w:sz w:val="28"/>
          <w:szCs w:val="28"/>
        </w:rPr>
        <w:t>2021年度</w:t>
      </w:r>
      <w:r>
        <w:rPr>
          <w:rFonts w:hint="eastAsia"/>
          <w:sz w:val="28"/>
          <w:szCs w:val="28"/>
          <w:lang w:eastAsia="zh-CN"/>
        </w:rPr>
        <w:t>我部门</w:t>
      </w:r>
      <w:r>
        <w:rPr>
          <w:rFonts w:hint="eastAsia"/>
          <w:sz w:val="28"/>
          <w:szCs w:val="28"/>
        </w:rPr>
        <w:t>没有“三公”经费支出。</w:t>
      </w:r>
    </w:p>
    <w:p>
      <w:pPr>
        <w:spacing w:after="0" w:line="520" w:lineRule="exact"/>
        <w:ind w:firstLine="560" w:firstLineChars="200"/>
        <w:rPr>
          <w:b/>
          <w:sz w:val="28"/>
          <w:szCs w:val="28"/>
        </w:rPr>
      </w:pPr>
      <w:r>
        <w:rPr>
          <w:rFonts w:hint="eastAsia"/>
          <w:b/>
          <w:sz w:val="28"/>
          <w:szCs w:val="28"/>
        </w:rPr>
        <w:t>（二）“三公”经费财政拨款支出决算具体情况说明。</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6"/>
        <w:tblW w:w="0" w:type="auto"/>
        <w:tblInd w:w="91"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bl>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6"/>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bl>
    <w:p>
      <w:pPr>
        <w:spacing w:after="0" w:line="520" w:lineRule="exact"/>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spacing w:after="0" w:line="520" w:lineRule="exact"/>
        <w:ind w:firstLine="636"/>
        <w:rPr>
          <w:rFonts w:ascii="仿宋_GB2312" w:hAnsi="仿宋" w:eastAsia="仿宋_GB2312"/>
          <w:b/>
          <w:sz w:val="32"/>
          <w:szCs w:val="32"/>
        </w:rPr>
      </w:pPr>
      <w:r>
        <w:rPr>
          <w:rFonts w:hint="eastAsia" w:ascii="微软雅黑" w:hAnsi="微软雅黑"/>
          <w:color w:val="000000"/>
          <w:sz w:val="28"/>
          <w:szCs w:val="28"/>
        </w:rPr>
        <w:t>2021年一般公共预算安排的“三公”经费年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w:t>
      </w:r>
      <w:r>
        <w:rPr>
          <w:rFonts w:hint="eastAsia" w:ascii="微软雅黑" w:hAnsi="微软雅黑"/>
          <w:sz w:val="28"/>
          <w:szCs w:val="28"/>
        </w:rPr>
        <w:t>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hint="eastAsia" w:ascii="微软雅黑" w:hAnsi="微软雅黑"/>
          <w:sz w:val="28"/>
          <w:szCs w:val="28"/>
        </w:rPr>
        <w:t>0</w:t>
      </w:r>
      <w:r>
        <w:rPr>
          <w:rFonts w:ascii="微软雅黑" w:hAnsi="微软雅黑"/>
          <w:sz w:val="28"/>
          <w:szCs w:val="28"/>
        </w:rPr>
        <w:t>个，累计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w:t>
      </w:r>
      <w:r>
        <w:rPr>
          <w:rFonts w:hint="eastAsia" w:ascii="微软雅黑" w:hAnsi="微软雅黑"/>
          <w:color w:val="000000"/>
          <w:sz w:val="28"/>
          <w:szCs w:val="28"/>
        </w:rPr>
        <w:t>其中公务用车购置及运行维护费用年</w:t>
      </w:r>
      <w:r>
        <w:rPr>
          <w:rFonts w:hint="eastAsia" w:ascii="微软雅黑" w:hAnsi="微软雅黑"/>
          <w:sz w:val="28"/>
          <w:szCs w:val="28"/>
        </w:rPr>
        <w:t>初预算</w:t>
      </w:r>
      <w:r>
        <w:rPr>
          <w:rFonts w:hint="eastAsia" w:ascii="微软雅黑" w:hAnsi="微软雅黑" w:cs="宋体"/>
          <w:color w:val="000000"/>
          <w:sz w:val="28"/>
          <w:szCs w:val="28"/>
        </w:rPr>
        <w:t>　0</w:t>
      </w:r>
      <w:r>
        <w:rPr>
          <w:rFonts w:hint="eastAsia" w:ascii="微软雅黑" w:hAnsi="微软雅黑"/>
          <w:sz w:val="28"/>
          <w:szCs w:val="28"/>
        </w:rPr>
        <w:t>万元，支出决算</w:t>
      </w:r>
      <w:r>
        <w:rPr>
          <w:rFonts w:hint="eastAsia" w:ascii="微软雅黑" w:hAnsi="微软雅黑" w:cs="宋体"/>
          <w:color w:val="000000"/>
          <w:sz w:val="28"/>
          <w:szCs w:val="28"/>
        </w:rPr>
        <w:t>　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%（具体：其中公务用车购置费年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　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%，原因是我单位2021年未发生公务用车购置费用；公务用车运行维护费年</w:t>
      </w:r>
      <w:r>
        <w:rPr>
          <w:rFonts w:hint="eastAsia" w:ascii="微软雅黑" w:hAnsi="微软雅黑"/>
          <w:sz w:val="28"/>
          <w:szCs w:val="28"/>
        </w:rPr>
        <w:t>初预算</w:t>
      </w:r>
      <w:r>
        <w:rPr>
          <w:rFonts w:hint="eastAsia" w:ascii="微软雅黑" w:hAnsi="微软雅黑" w:cs="宋体"/>
          <w:color w:val="000000"/>
          <w:sz w:val="28"/>
          <w:szCs w:val="28"/>
        </w:rPr>
        <w:t>　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%，原因是我单位2021年未发生公务用车运行维护费用）；公务接待费年</w:t>
      </w:r>
      <w:r>
        <w:rPr>
          <w:rFonts w:hint="eastAsia" w:ascii="微软雅黑" w:hAnsi="微软雅黑"/>
          <w:sz w:val="28"/>
          <w:szCs w:val="28"/>
        </w:rPr>
        <w:t>初预算</w:t>
      </w:r>
      <w:r>
        <w:rPr>
          <w:rFonts w:hint="eastAsia" w:ascii="微软雅黑" w:hAnsi="微软雅黑" w:cs="宋体"/>
          <w:color w:val="000000"/>
          <w:sz w:val="28"/>
          <w:szCs w:val="28"/>
        </w:rPr>
        <w:t>　0</w:t>
      </w:r>
      <w:r>
        <w:rPr>
          <w:rFonts w:hint="eastAsia" w:ascii="微软雅黑" w:hAnsi="微软雅黑"/>
          <w:sz w:val="28"/>
          <w:szCs w:val="28"/>
        </w:rPr>
        <w:t>万元，支出决算</w:t>
      </w:r>
      <w:r>
        <w:rPr>
          <w:rFonts w:hint="eastAsia" w:ascii="微软雅黑" w:hAnsi="微软雅黑" w:cs="宋体"/>
          <w:color w:val="000000"/>
          <w:sz w:val="28"/>
          <w:szCs w:val="28"/>
        </w:rPr>
        <w:t>　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%，原因是我单位2021年未发生公务接待费用（全年</w:t>
      </w:r>
      <w:r>
        <w:rPr>
          <w:rFonts w:ascii="微软雅黑" w:hAnsi="微软雅黑"/>
          <w:color w:val="000000"/>
          <w:sz w:val="28"/>
          <w:szCs w:val="28"/>
        </w:rPr>
        <w:t>年使用一般公共预算拨款开支的国内公务接待</w:t>
      </w:r>
      <w:r>
        <w:rPr>
          <w:rFonts w:hint="eastAsia" w:ascii="微软雅黑" w:hAnsi="微软雅黑"/>
          <w:color w:val="000000"/>
          <w:sz w:val="28"/>
          <w:szCs w:val="28"/>
        </w:rPr>
        <w:t>0</w:t>
      </w:r>
      <w:r>
        <w:rPr>
          <w:rFonts w:ascii="微软雅黑" w:hAnsi="微软雅黑"/>
          <w:color w:val="000000"/>
          <w:sz w:val="28"/>
          <w:szCs w:val="28"/>
        </w:rPr>
        <w:t>批次，</w:t>
      </w:r>
      <w:r>
        <w:rPr>
          <w:rFonts w:hint="eastAsia" w:ascii="微软雅黑" w:hAnsi="微软雅黑"/>
          <w:color w:val="000000"/>
          <w:sz w:val="28"/>
          <w:szCs w:val="28"/>
        </w:rPr>
        <w:t>0</w:t>
      </w:r>
      <w:r>
        <w:rPr>
          <w:rFonts w:ascii="微软雅黑" w:hAnsi="微软雅黑"/>
          <w:color w:val="000000"/>
          <w:sz w:val="28"/>
          <w:szCs w:val="28"/>
        </w:rPr>
        <w:t>人次</w:t>
      </w:r>
      <w:r>
        <w:rPr>
          <w:rFonts w:hint="eastAsia" w:ascii="微软雅黑" w:hAnsi="微软雅黑"/>
          <w:color w:val="000000"/>
          <w:sz w:val="28"/>
          <w:szCs w:val="28"/>
        </w:rPr>
        <w:t>。）</w:t>
      </w:r>
    </w:p>
    <w:p>
      <w:pPr>
        <w:spacing w:after="0" w:line="520" w:lineRule="exact"/>
        <w:ind w:firstLine="560" w:firstLineChars="200"/>
        <w:rPr>
          <w:b/>
          <w:sz w:val="28"/>
          <w:szCs w:val="28"/>
        </w:rPr>
      </w:pPr>
      <w:r>
        <w:rPr>
          <w:rFonts w:hint="eastAsia"/>
          <w:b/>
          <w:sz w:val="28"/>
          <w:szCs w:val="28"/>
        </w:rPr>
        <w:t>八、其他重要事项情况说明</w:t>
      </w:r>
    </w:p>
    <w:p>
      <w:pPr>
        <w:spacing w:after="0" w:line="520" w:lineRule="exact"/>
        <w:ind w:firstLine="560" w:firstLineChars="200"/>
        <w:rPr>
          <w:b/>
          <w:sz w:val="28"/>
          <w:szCs w:val="28"/>
        </w:rPr>
      </w:pPr>
      <w:r>
        <w:rPr>
          <w:rFonts w:hint="eastAsia"/>
          <w:b/>
          <w:sz w:val="28"/>
          <w:szCs w:val="28"/>
        </w:rPr>
        <w:t>（一）机关运行经费支出情况说明</w:t>
      </w:r>
    </w:p>
    <w:p>
      <w:pPr>
        <w:spacing w:after="0" w:line="520" w:lineRule="exact"/>
        <w:ind w:firstLine="560" w:firstLineChars="200"/>
        <w:rPr>
          <w:rFonts w:hint="eastAsia"/>
          <w:sz w:val="28"/>
          <w:szCs w:val="28"/>
        </w:rPr>
      </w:pPr>
      <w:r>
        <w:rPr>
          <w:rFonts w:hint="eastAsia"/>
          <w:sz w:val="28"/>
          <w:szCs w:val="28"/>
        </w:rPr>
        <w:t>2021年机关运行经费支出14.72万元，比上年增加1.2万元，增长8.87%。主要原因是：办公费有所增加，2021年度我单位接受巡视、审计等方面的检查，增加了办公费的支出。</w:t>
      </w:r>
    </w:p>
    <w:p>
      <w:pPr>
        <w:spacing w:after="0" w:line="520" w:lineRule="exact"/>
        <w:ind w:firstLine="560" w:firstLineChars="200"/>
        <w:rPr>
          <w:b/>
          <w:sz w:val="28"/>
          <w:szCs w:val="28"/>
        </w:rPr>
      </w:pPr>
      <w:r>
        <w:rPr>
          <w:rFonts w:hint="eastAsia"/>
          <w:b/>
          <w:sz w:val="28"/>
          <w:szCs w:val="28"/>
        </w:rPr>
        <w:t>（二）政府采购情况说明</w:t>
      </w:r>
    </w:p>
    <w:p>
      <w:pPr>
        <w:spacing w:after="0" w:line="520" w:lineRule="exact"/>
        <w:ind w:firstLine="560" w:firstLineChars="200"/>
        <w:rPr>
          <w:sz w:val="28"/>
          <w:szCs w:val="28"/>
        </w:rPr>
      </w:pPr>
      <w:r>
        <w:rPr>
          <w:rFonts w:hint="eastAsia"/>
          <w:sz w:val="28"/>
          <w:szCs w:val="28"/>
        </w:rPr>
        <w:t>2021年度政府采购支出总额0万元，其中：政府采购货物支出0万元、政府采购工程支出0万元、政府采购服务支出0万元。政府采购授予中小企业合同金额0万元，占政府采购支出总额的0%。其中：授予小微企业合同金额0万元，占政府采购支出总额的0%.</w:t>
      </w:r>
    </w:p>
    <w:p>
      <w:pPr>
        <w:spacing w:after="0" w:line="520" w:lineRule="exact"/>
        <w:ind w:firstLine="560" w:firstLineChars="200"/>
        <w:rPr>
          <w:b/>
          <w:sz w:val="28"/>
          <w:szCs w:val="28"/>
        </w:rPr>
      </w:pPr>
      <w:r>
        <w:rPr>
          <w:rFonts w:hint="eastAsia"/>
          <w:b/>
          <w:sz w:val="28"/>
          <w:szCs w:val="28"/>
        </w:rPr>
        <w:t>（三）国有资产占用情况说明</w:t>
      </w:r>
    </w:p>
    <w:p>
      <w:pPr>
        <w:spacing w:after="0" w:line="520" w:lineRule="exact"/>
        <w:ind w:firstLine="560" w:firstLineChars="200"/>
        <w:rPr>
          <w:sz w:val="28"/>
          <w:szCs w:val="28"/>
        </w:rPr>
      </w:pPr>
      <w:r>
        <w:rPr>
          <w:rFonts w:hint="eastAsia"/>
          <w:sz w:val="28"/>
          <w:szCs w:val="28"/>
        </w:rPr>
        <w:t>（1）房屋情况</w:t>
      </w:r>
    </w:p>
    <w:p>
      <w:pPr>
        <w:spacing w:after="0" w:line="520" w:lineRule="exact"/>
        <w:ind w:firstLine="635"/>
        <w:rPr>
          <w:rFonts w:ascii="仿宋_GB2312" w:hAnsi="仿宋" w:eastAsia="仿宋_GB2312"/>
          <w:sz w:val="32"/>
          <w:szCs w:val="32"/>
        </w:rPr>
      </w:pPr>
      <w:r>
        <w:rPr>
          <w:rFonts w:hint="eastAsia"/>
          <w:sz w:val="28"/>
          <w:szCs w:val="28"/>
        </w:rPr>
        <w:t>截至2021年12月31日，本部门共有房屋4500.14平方米，价值为</w:t>
      </w:r>
      <w:r>
        <w:rPr>
          <w:rFonts w:hint="eastAsia"/>
          <w:sz w:val="28"/>
          <w:szCs w:val="28"/>
        </w:rPr>
        <w:t>117.52万元，其中办公用房</w:t>
      </w:r>
      <w:r>
        <w:rPr>
          <w:rFonts w:hint="eastAsia"/>
          <w:sz w:val="28"/>
          <w:szCs w:val="28"/>
        </w:rPr>
        <w:t>932.03平方米，价值为</w:t>
      </w:r>
      <w:r>
        <w:rPr>
          <w:rFonts w:hint="eastAsia"/>
          <w:sz w:val="28"/>
          <w:szCs w:val="28"/>
        </w:rPr>
        <w:t>6.56万元；业务用房</w:t>
      </w:r>
      <w:r>
        <w:rPr>
          <w:rFonts w:hint="eastAsia"/>
          <w:sz w:val="28"/>
          <w:szCs w:val="28"/>
        </w:rPr>
        <w:t>0平方米，价值为</w:t>
      </w:r>
      <w:r>
        <w:rPr>
          <w:rFonts w:hint="eastAsia"/>
          <w:sz w:val="28"/>
          <w:szCs w:val="28"/>
        </w:rPr>
        <w:t>0万元；其他（不含构筑物）</w:t>
      </w:r>
      <w:r>
        <w:rPr>
          <w:rFonts w:hint="eastAsia"/>
          <w:sz w:val="28"/>
          <w:szCs w:val="28"/>
        </w:rPr>
        <w:t>3568.11平方米，价值为</w:t>
      </w:r>
      <w:r>
        <w:rPr>
          <w:rFonts w:hint="eastAsia"/>
          <w:sz w:val="28"/>
          <w:szCs w:val="28"/>
        </w:rPr>
        <w:t>110.96万元。</w:t>
      </w:r>
    </w:p>
    <w:p>
      <w:pPr>
        <w:spacing w:after="0" w:line="520" w:lineRule="exact"/>
        <w:ind w:firstLine="560" w:firstLineChars="200"/>
        <w:rPr>
          <w:sz w:val="28"/>
          <w:szCs w:val="28"/>
        </w:rPr>
      </w:pPr>
      <w:r>
        <w:rPr>
          <w:rFonts w:hint="eastAsia"/>
          <w:sz w:val="28"/>
          <w:szCs w:val="28"/>
        </w:rPr>
        <w:t>（2）车辆及设备情况</w:t>
      </w:r>
    </w:p>
    <w:p>
      <w:pPr>
        <w:spacing w:after="0" w:line="520" w:lineRule="exact"/>
        <w:ind w:firstLine="560" w:firstLineChars="200"/>
        <w:rPr>
          <w:sz w:val="28"/>
          <w:szCs w:val="28"/>
        </w:rPr>
      </w:pPr>
      <w:r>
        <w:rPr>
          <w:rFonts w:hint="eastAsia"/>
          <w:sz w:val="28"/>
          <w:szCs w:val="28"/>
        </w:rPr>
        <w:t>截至2021年12月31日，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专用设备0台（套）。</w:t>
      </w:r>
    </w:p>
    <w:p>
      <w:pPr>
        <w:spacing w:after="0" w:line="520" w:lineRule="exact"/>
        <w:ind w:firstLine="560" w:firstLineChars="200"/>
        <w:rPr>
          <w:b/>
          <w:sz w:val="28"/>
          <w:szCs w:val="28"/>
        </w:rPr>
      </w:pPr>
      <w:r>
        <w:rPr>
          <w:rFonts w:hint="eastAsia"/>
          <w:b/>
          <w:sz w:val="28"/>
          <w:szCs w:val="28"/>
        </w:rPr>
        <w:t>（四）预算绩效情况说明</w:t>
      </w:r>
    </w:p>
    <w:p>
      <w:pPr>
        <w:spacing w:after="0" w:line="520" w:lineRule="exact"/>
        <w:ind w:firstLine="560" w:firstLineChars="200"/>
        <w:rPr>
          <w:b/>
          <w:sz w:val="28"/>
          <w:szCs w:val="28"/>
        </w:rPr>
      </w:pPr>
      <w:r>
        <w:rPr>
          <w:rFonts w:hint="eastAsia"/>
          <w:b/>
          <w:sz w:val="28"/>
          <w:szCs w:val="28"/>
        </w:rPr>
        <w:t>（1）预算绩效管理工作开展情况。</w:t>
      </w:r>
    </w:p>
    <w:p>
      <w:pPr>
        <w:numPr>
          <w:ilvl w:val="0"/>
          <w:numId w:val="0"/>
        </w:numPr>
        <w:spacing w:after="0" w:line="520" w:lineRule="exact"/>
        <w:ind w:firstLine="560" w:firstLineChars="200"/>
        <w:rPr>
          <w:rFonts w:hint="eastAsia"/>
          <w:sz w:val="28"/>
          <w:szCs w:val="28"/>
        </w:rPr>
      </w:pPr>
      <w:r>
        <w:rPr>
          <w:rFonts w:hint="eastAsia"/>
          <w:sz w:val="28"/>
          <w:szCs w:val="28"/>
        </w:rPr>
        <w:t>根据预算绩效管理要求，我部门组织对2021年度县级财政预算安排的专项资金类1个项目支出全面开展绩效自评，涉及预算资金5万元，占一般公共预算项目支出总额的3.16%。</w:t>
      </w:r>
    </w:p>
    <w:p>
      <w:pPr>
        <w:numPr>
          <w:ilvl w:val="0"/>
          <w:numId w:val="0"/>
        </w:numPr>
        <w:spacing w:after="0" w:line="520" w:lineRule="exact"/>
        <w:ind w:firstLine="560" w:firstLineChars="200"/>
        <w:rPr>
          <w:sz w:val="28"/>
          <w:szCs w:val="28"/>
        </w:rPr>
      </w:pPr>
      <w:r>
        <w:rPr>
          <w:rFonts w:hint="eastAsia"/>
          <w:sz w:val="28"/>
          <w:szCs w:val="28"/>
        </w:rPr>
        <w:t>组织对“单位运转经费”等1个项目开展了部门评价，涉及一般公共预算支出5万元，政府性基金预算支出0万元。我部门没有委托第三方机构开展绩效评价和整体绩效评价试点工作。</w:t>
      </w:r>
    </w:p>
    <w:p>
      <w:pPr>
        <w:numPr>
          <w:ilvl w:val="0"/>
          <w:numId w:val="2"/>
        </w:numPr>
        <w:spacing w:after="0" w:line="520" w:lineRule="exact"/>
        <w:ind w:firstLine="560" w:firstLineChars="200"/>
        <w:rPr>
          <w:rFonts w:hint="eastAsia"/>
          <w:b/>
          <w:sz w:val="28"/>
          <w:szCs w:val="28"/>
        </w:rPr>
      </w:pPr>
      <w:r>
        <w:rPr>
          <w:rFonts w:hint="eastAsia"/>
          <w:b/>
          <w:sz w:val="28"/>
          <w:szCs w:val="28"/>
        </w:rPr>
        <w:t>部门决算中项目绩效自评结果。</w:t>
      </w:r>
    </w:p>
    <w:p>
      <w:pPr>
        <w:numPr>
          <w:ilvl w:val="0"/>
          <w:numId w:val="0"/>
        </w:numPr>
        <w:spacing w:after="0" w:line="520" w:lineRule="exact"/>
        <w:ind w:firstLine="560" w:firstLineChars="200"/>
        <w:rPr>
          <w:sz w:val="28"/>
          <w:szCs w:val="28"/>
        </w:rPr>
      </w:pPr>
      <w:r>
        <w:rPr>
          <w:rFonts w:hint="eastAsia"/>
          <w:sz w:val="28"/>
          <w:szCs w:val="28"/>
        </w:rPr>
        <w:t>根据年初设定的绩效目标，项目自评得分为93.1分。全年预算数为10万元，执行数为5万元，完成预算的50%。项目绩效目标完成情况：一是水电暖等保障度、单位正常运转保障度等指标已百分百完成；二是计划用电量、计划用水量等指标有所欠缺，在今年的指标设定中要加以改进。发现的主要问题及原因：一是主观判断的多；二是具体可衡量的少。下一步改进措施：一是完善管理制度；二是规范经费的使用效率；三是注重绩效管理。</w:t>
      </w:r>
    </w:p>
    <w:p>
      <w:pPr>
        <w:pStyle w:val="12"/>
        <w:spacing w:before="0" w:after="0" w:line="520" w:lineRule="exact"/>
        <w:ind w:firstLine="560"/>
        <w:rPr>
          <w:rFonts w:ascii="Tahoma" w:hAnsi="Tahoma" w:eastAsia="微软雅黑"/>
          <w:b w:val="0"/>
          <w:bCs w:val="0"/>
          <w:szCs w:val="28"/>
          <w:lang w:val="en-US"/>
        </w:rPr>
      </w:pPr>
      <w:r>
        <w:rPr>
          <w:rFonts w:hint="eastAsia" w:ascii="Tahoma" w:hAnsi="Tahoma" w:eastAsia="微软雅黑" w:cs="Times New Roman"/>
          <w:b w:val="0"/>
          <w:bCs w:val="0"/>
          <w:sz w:val="28"/>
          <w:szCs w:val="28"/>
          <w:lang w:val="en-US" w:eastAsia="zh-CN" w:bidi="ar-SA"/>
        </w:rPr>
        <w:t>单位运转经费项目绩效自评综述：</w:t>
      </w:r>
      <w:r>
        <w:rPr>
          <w:rFonts w:hint="eastAsia" w:ascii="Tahoma" w:hAnsi="Tahoma" w:eastAsia="微软雅黑"/>
          <w:b w:val="0"/>
          <w:bCs w:val="0"/>
          <w:szCs w:val="28"/>
          <w:lang w:val="en-US"/>
        </w:rPr>
        <w:t>领导高度重视，完善了管理制度，规范了经费的使用效率，注重绩效管理，保证资金使用合理合规。</w:t>
      </w:r>
    </w:p>
    <w:p>
      <w:pPr>
        <w:spacing w:after="0" w:line="520" w:lineRule="exact"/>
        <w:rPr>
          <w:rFonts w:hint="eastAsia"/>
          <w:sz w:val="28"/>
          <w:szCs w:val="28"/>
        </w:rPr>
      </w:pPr>
    </w:p>
    <w:p>
      <w:pPr>
        <w:spacing w:after="0" w:line="520" w:lineRule="exact"/>
        <w:rPr>
          <w:sz w:val="28"/>
          <w:szCs w:val="28"/>
        </w:rPr>
      </w:pPr>
      <w:r>
        <w:rPr>
          <w:rFonts w:hint="eastAsia"/>
          <w:sz w:val="28"/>
          <w:szCs w:val="28"/>
        </w:rPr>
        <w:t>附件：</w:t>
      </w:r>
    </w:p>
    <w:p>
      <w:pPr>
        <w:jc w:val="center"/>
        <w:rPr>
          <w:sz w:val="28"/>
          <w:szCs w:val="28"/>
        </w:rPr>
      </w:pPr>
      <w:bookmarkStart w:id="0" w:name="_MON_1716644766"/>
      <w:bookmarkEnd w:id="0"/>
      <w:r>
        <w:rPr>
          <w:rFonts w:hint="eastAsia"/>
          <w:sz w:val="28"/>
          <w:szCs w:val="28"/>
        </w:rPr>
        <w:t>单位运转经费自评报告</w:t>
      </w:r>
    </w:p>
    <w:p>
      <w:pPr>
        <w:spacing w:after="0" w:line="520" w:lineRule="exact"/>
        <w:ind w:firstLine="560" w:firstLineChars="200"/>
        <w:rPr>
          <w:rFonts w:ascii="微软雅黑" w:hAnsi="微软雅黑"/>
          <w:sz w:val="28"/>
          <w:szCs w:val="28"/>
        </w:rPr>
      </w:pPr>
      <w:r>
        <w:rPr>
          <w:rFonts w:hint="eastAsia" w:ascii="微软雅黑" w:hAnsi="微软雅黑"/>
          <w:sz w:val="28"/>
          <w:szCs w:val="28"/>
        </w:rPr>
        <w:t>一、项目</w:t>
      </w:r>
      <w:r>
        <w:rPr>
          <w:rFonts w:ascii="微软雅黑" w:hAnsi="微软雅黑"/>
          <w:sz w:val="28"/>
          <w:szCs w:val="28"/>
        </w:rPr>
        <w:t>基本情况</w:t>
      </w:r>
    </w:p>
    <w:p>
      <w:pPr>
        <w:spacing w:after="0" w:line="520" w:lineRule="exact"/>
        <w:ind w:firstLine="560" w:firstLineChars="200"/>
        <w:rPr>
          <w:rFonts w:ascii="微软雅黑" w:hAnsi="微软雅黑"/>
          <w:sz w:val="28"/>
          <w:szCs w:val="28"/>
        </w:rPr>
      </w:pPr>
      <w:r>
        <w:rPr>
          <w:rFonts w:hint="eastAsia" w:ascii="微软雅黑" w:hAnsi="微软雅黑"/>
          <w:sz w:val="28"/>
          <w:szCs w:val="28"/>
        </w:rPr>
        <w:t>（一）基本信息</w:t>
      </w:r>
    </w:p>
    <w:p>
      <w:pPr>
        <w:spacing w:after="0" w:line="520" w:lineRule="exact"/>
        <w:ind w:firstLine="560" w:firstLineChars="200"/>
        <w:rPr>
          <w:rFonts w:ascii="微软雅黑" w:hAnsi="微软雅黑"/>
          <w:sz w:val="28"/>
          <w:szCs w:val="28"/>
        </w:rPr>
      </w:pPr>
      <w:r>
        <w:rPr>
          <w:rFonts w:hint="eastAsia" w:ascii="微软雅黑" w:hAnsi="微软雅黑"/>
          <w:sz w:val="28"/>
          <w:szCs w:val="28"/>
        </w:rPr>
        <w:t>项目基本内容：为保证单位工作的正常开展，2021年—2023年办公费开支大约16万元，水电费开支大约3万元，维修费开支大约6万元，其他工资福利支出大约5万元。  项目负责人：张文浩</w:t>
      </w:r>
    </w:p>
    <w:p>
      <w:pPr>
        <w:spacing w:after="0" w:line="520" w:lineRule="exact"/>
        <w:ind w:firstLine="560" w:firstLineChars="200"/>
        <w:rPr>
          <w:rFonts w:ascii="微软雅黑" w:hAnsi="微软雅黑"/>
          <w:sz w:val="28"/>
          <w:szCs w:val="28"/>
        </w:rPr>
      </w:pPr>
      <w:r>
        <w:rPr>
          <w:rFonts w:hint="eastAsia" w:ascii="微软雅黑" w:hAnsi="微软雅黑"/>
          <w:sz w:val="28"/>
          <w:szCs w:val="28"/>
        </w:rPr>
        <w:t>联系人：许文丽</w:t>
      </w:r>
    </w:p>
    <w:p>
      <w:pPr>
        <w:pStyle w:val="12"/>
        <w:spacing w:before="0" w:after="0" w:line="520" w:lineRule="exact"/>
        <w:ind w:firstLine="560"/>
        <w:rPr>
          <w:rFonts w:ascii="微软雅黑" w:hAnsi="微软雅黑" w:eastAsia="微软雅黑"/>
          <w:b w:val="0"/>
          <w:bCs w:val="0"/>
          <w:szCs w:val="28"/>
        </w:rPr>
      </w:pPr>
      <w:r>
        <w:rPr>
          <w:rFonts w:hint="eastAsia" w:ascii="微软雅黑" w:hAnsi="微软雅黑" w:eastAsia="微软雅黑"/>
          <w:b w:val="0"/>
          <w:bCs w:val="0"/>
          <w:szCs w:val="28"/>
        </w:rPr>
        <w:t>联系电话：13834058408</w:t>
      </w:r>
    </w:p>
    <w:p>
      <w:pPr>
        <w:pStyle w:val="12"/>
        <w:spacing w:before="0" w:after="0" w:line="520" w:lineRule="exact"/>
        <w:ind w:firstLine="560"/>
        <w:rPr>
          <w:rFonts w:ascii="微软雅黑" w:hAnsi="微软雅黑" w:eastAsia="微软雅黑"/>
          <w:b w:val="0"/>
          <w:bCs w:val="0"/>
          <w:szCs w:val="28"/>
        </w:rPr>
      </w:pPr>
      <w:r>
        <w:rPr>
          <w:rFonts w:hint="eastAsia" w:ascii="微软雅黑" w:hAnsi="微软雅黑" w:eastAsia="微软雅黑"/>
          <w:b w:val="0"/>
          <w:bCs w:val="0"/>
          <w:szCs w:val="28"/>
        </w:rPr>
        <w:t>项目存在的主要问题：主观判断的多，具体可衡量的少。</w:t>
      </w:r>
    </w:p>
    <w:p>
      <w:pPr>
        <w:pStyle w:val="12"/>
        <w:spacing w:before="0" w:after="0" w:line="520" w:lineRule="exact"/>
        <w:ind w:firstLine="560"/>
        <w:rPr>
          <w:rFonts w:ascii="微软雅黑" w:hAnsi="微软雅黑" w:eastAsia="微软雅黑"/>
          <w:b w:val="0"/>
          <w:bCs w:val="0"/>
          <w:szCs w:val="28"/>
        </w:rPr>
      </w:pPr>
      <w:r>
        <w:rPr>
          <w:rFonts w:hint="eastAsia" w:ascii="微软雅黑" w:hAnsi="微软雅黑" w:eastAsia="微软雅黑"/>
          <w:b w:val="0"/>
          <w:bCs w:val="0"/>
          <w:szCs w:val="28"/>
        </w:rPr>
        <w:t>（二）预算资金情况</w:t>
      </w:r>
    </w:p>
    <w:p>
      <w:pPr>
        <w:pStyle w:val="19"/>
        <w:rPr>
          <w:rFonts w:ascii="微软雅黑" w:hAnsi="微软雅黑" w:eastAsia="微软雅黑"/>
        </w:rPr>
      </w:pPr>
      <w:r>
        <w:rPr>
          <w:rFonts w:hint="eastAsia" w:ascii="微软雅黑" w:hAnsi="微软雅黑" w:eastAsia="微软雅黑"/>
        </w:rPr>
        <w:t>项目总预算金额：元；</w:t>
      </w:r>
    </w:p>
    <w:p>
      <w:pPr>
        <w:pStyle w:val="19"/>
        <w:rPr>
          <w:rFonts w:ascii="微软雅黑" w:hAnsi="微软雅黑" w:eastAsia="微软雅黑"/>
        </w:rPr>
      </w:pPr>
      <w:r>
        <w:rPr>
          <w:rFonts w:hint="eastAsia" w:ascii="微软雅黑" w:hAnsi="微软雅黑" w:eastAsia="微软雅黑"/>
        </w:rPr>
        <w:t>项目当年预算金额：10元；</w:t>
      </w:r>
      <w:bookmarkStart w:id="1" w:name="_Toc490218263"/>
      <w:bookmarkStart w:id="2" w:name="_Toc488925441"/>
      <w:bookmarkStart w:id="3" w:name="_Toc517260672"/>
    </w:p>
    <w:p>
      <w:pPr>
        <w:pStyle w:val="19"/>
        <w:rPr>
          <w:rFonts w:ascii="微软雅黑" w:hAnsi="微软雅黑" w:eastAsia="微软雅黑"/>
        </w:rPr>
      </w:pPr>
      <w:r>
        <w:rPr>
          <w:rFonts w:hint="eastAsia" w:ascii="微软雅黑" w:hAnsi="微软雅黑" w:eastAsia="微软雅黑"/>
        </w:rPr>
        <w:t>二</w:t>
      </w:r>
      <w:r>
        <w:rPr>
          <w:rFonts w:ascii="微软雅黑" w:hAnsi="微软雅黑" w:eastAsia="微软雅黑"/>
        </w:rPr>
        <w:t>、</w:t>
      </w:r>
      <w:bookmarkEnd w:id="1"/>
      <w:bookmarkEnd w:id="2"/>
      <w:r>
        <w:rPr>
          <w:rFonts w:hint="eastAsia" w:ascii="微软雅黑" w:hAnsi="微软雅黑" w:eastAsia="微软雅黑"/>
        </w:rPr>
        <w:t>评价结论和绩效分析</w:t>
      </w:r>
      <w:bookmarkEnd w:id="3"/>
    </w:p>
    <w:p>
      <w:pPr>
        <w:pStyle w:val="12"/>
        <w:spacing w:line="240" w:lineRule="auto"/>
        <w:ind w:firstLine="560"/>
        <w:rPr>
          <w:rFonts w:ascii="微软雅黑" w:hAnsi="微软雅黑" w:eastAsia="微软雅黑"/>
          <w:b w:val="0"/>
          <w:bCs w:val="0"/>
          <w:szCs w:val="28"/>
          <w:lang w:val="en-US"/>
        </w:rPr>
      </w:pPr>
      <w:bookmarkStart w:id="4" w:name="_Toc517260673"/>
      <w:r>
        <w:rPr>
          <w:rFonts w:hint="eastAsia" w:ascii="微软雅黑" w:hAnsi="微软雅黑" w:eastAsia="微软雅黑"/>
          <w:b w:val="0"/>
          <w:bCs w:val="0"/>
          <w:szCs w:val="28"/>
          <w:lang w:val="en-US"/>
        </w:rPr>
        <w:t>（一）评价结果</w:t>
      </w:r>
      <w:bookmarkEnd w:id="4"/>
    </w:p>
    <w:p>
      <w:pPr>
        <w:pStyle w:val="19"/>
        <w:rPr>
          <w:rFonts w:ascii="微软雅黑" w:hAnsi="微软雅黑" w:eastAsia="微软雅黑"/>
        </w:rPr>
      </w:pPr>
      <w:r>
        <w:rPr>
          <w:rFonts w:hint="eastAsia" w:ascii="微软雅黑" w:hAnsi="微软雅黑" w:eastAsia="微软雅黑"/>
        </w:rPr>
        <w:t>评价得分：93.1</w:t>
      </w:r>
    </w:p>
    <w:p>
      <w:pPr>
        <w:pStyle w:val="19"/>
        <w:rPr>
          <w:rFonts w:ascii="微软雅黑" w:hAnsi="微软雅黑" w:eastAsia="微软雅黑"/>
        </w:rPr>
      </w:pPr>
      <w:r>
        <w:rPr>
          <w:rFonts w:hint="eastAsia" w:ascii="微软雅黑" w:hAnsi="微软雅黑" w:eastAsia="微软雅黑"/>
        </w:rPr>
        <w:t>绩效等级：优秀</w:t>
      </w:r>
    </w:p>
    <w:p>
      <w:pPr>
        <w:pStyle w:val="12"/>
        <w:spacing w:line="240" w:lineRule="auto"/>
        <w:ind w:firstLine="338" w:firstLineChars="121"/>
        <w:rPr>
          <w:rFonts w:ascii="微软雅黑" w:hAnsi="微软雅黑" w:eastAsia="微软雅黑"/>
          <w:b w:val="0"/>
          <w:bCs w:val="0"/>
          <w:szCs w:val="28"/>
          <w:lang w:val="en-US"/>
        </w:rPr>
      </w:pPr>
      <w:bookmarkStart w:id="5" w:name="_Toc517260674"/>
      <w:r>
        <w:rPr>
          <w:rFonts w:hint="eastAsia" w:ascii="微软雅黑" w:hAnsi="微软雅黑" w:eastAsia="微软雅黑"/>
          <w:b w:val="0"/>
          <w:bCs w:val="0"/>
          <w:szCs w:val="28"/>
          <w:lang w:val="en-US"/>
        </w:rPr>
        <w:t>（二）主要绩效及分析</w:t>
      </w:r>
      <w:bookmarkEnd w:id="5"/>
    </w:p>
    <w:p>
      <w:pPr>
        <w:pStyle w:val="12"/>
        <w:spacing w:line="240" w:lineRule="auto"/>
        <w:ind w:firstLine="560"/>
        <w:rPr>
          <w:rFonts w:ascii="微软雅黑" w:hAnsi="微软雅黑" w:eastAsia="微软雅黑"/>
          <w:b w:val="0"/>
          <w:bCs w:val="0"/>
          <w:szCs w:val="28"/>
          <w:lang w:val="en-US"/>
        </w:rPr>
      </w:pPr>
      <w:r>
        <w:rPr>
          <w:rFonts w:hint="eastAsia" w:ascii="微软雅黑" w:hAnsi="微软雅黑" w:eastAsia="微软雅黑"/>
          <w:b w:val="0"/>
          <w:bCs w:val="0"/>
          <w:szCs w:val="28"/>
          <w:lang w:val="en-US"/>
        </w:rPr>
        <w:t>项目主要经验总结</w:t>
      </w:r>
      <w:r>
        <w:rPr>
          <w:rFonts w:ascii="微软雅黑" w:hAnsi="微软雅黑" w:eastAsia="微软雅黑"/>
          <w:b w:val="0"/>
          <w:bCs w:val="0"/>
          <w:szCs w:val="28"/>
          <w:lang w:val="en-US"/>
        </w:rPr>
        <w:t xml:space="preserve">: </w:t>
      </w:r>
      <w:r>
        <w:rPr>
          <w:rFonts w:hint="eastAsia" w:ascii="微软雅黑" w:hAnsi="微软雅黑" w:eastAsia="微软雅黑"/>
          <w:b w:val="0"/>
          <w:bCs w:val="0"/>
          <w:szCs w:val="28"/>
          <w:lang w:val="en-US"/>
        </w:rPr>
        <w:t>领导高度重视，完善了管理制度，规范了经费的使用效率，注重绩效管理，保证资金使用合理合规。</w:t>
      </w:r>
    </w:p>
    <w:p>
      <w:pPr>
        <w:pStyle w:val="12"/>
        <w:spacing w:line="240" w:lineRule="auto"/>
        <w:ind w:firstLine="442"/>
        <w:rPr>
          <w:lang w:val="en-US"/>
        </w:rPr>
      </w:pPr>
      <w:r>
        <w:rPr>
          <w:rFonts w:hint="eastAsia" w:ascii="仿宋" w:hAnsi="仿宋" w:eastAsia="仿宋" w:cs="宋体"/>
          <w:sz w:val="22"/>
        </w:rPr>
        <w:t>已完成指标</w:t>
      </w:r>
      <w:r>
        <w:rPr>
          <w:rFonts w:ascii="仿宋" w:hAnsi="仿宋" w:eastAsia="仿宋" w:cs="宋体"/>
          <w:sz w:val="22"/>
          <w:lang w:val="en-US"/>
        </w:rPr>
        <w:t>:</w:t>
      </w:r>
    </w:p>
    <w:tbl>
      <w:tblPr>
        <w:tblStyle w:val="6"/>
        <w:tblW w:w="5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tcPr>
          <w:p>
            <w:pPr>
              <w:jc w:val="cente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供暖时间</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水电暖等保障度</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工作效率</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集中供热面积（</w:t>
            </w:r>
            <w:r>
              <w:rPr>
                <w:rFonts w:hint="eastAsia" w:ascii="宋体" w:hAnsi="宋体" w:eastAsia="宋体" w:cs="宋体"/>
              </w:rPr>
              <w:t>㎡</w:t>
            </w:r>
            <w:r>
              <w:rPr>
                <w:rFonts w:hint="eastAsia" w:ascii="微软雅黑" w:hAnsi="微软雅黑" w:cs="微软雅黑"/>
              </w:rPr>
              <w:t>）</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单位供暖成本</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临时工人数</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服务对象满意度（%）</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工作效率提升度</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单位正常运转保障度</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单位机制建设情况</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预算执行率</w:t>
            </w:r>
          </w:p>
        </w:tc>
        <w:tc>
          <w:tcPr>
            <w:tcW w:w="2268" w:type="dxa"/>
            <w:vAlign w:val="center"/>
          </w:tcPr>
          <w:p>
            <w:pPr>
              <w:jc w:val="center"/>
              <w:rPr>
                <w:rFonts w:ascii="宋体" w:hAnsi="宋体" w:cs="宋体"/>
              </w:rPr>
            </w:pPr>
            <w:r>
              <w:rPr>
                <w:rFonts w:hint="eastAsia" w:ascii="宋体" w:hAnsi="宋体" w:cs="宋体"/>
              </w:rPr>
              <w:t>100.00%</w:t>
            </w:r>
          </w:p>
        </w:tc>
      </w:tr>
    </w:tbl>
    <w:p>
      <w:pPr>
        <w:pStyle w:val="15"/>
        <w:ind w:firstLine="420"/>
        <w:jc w:val="both"/>
      </w:pPr>
      <w:r>
        <w:rPr>
          <w:rFonts w:hint="eastAsia" w:ascii="仿宋" w:hAnsi="仿宋" w:eastAsia="仿宋" w:cs="宋体"/>
          <w:bCs/>
          <w:sz w:val="22"/>
        </w:rPr>
        <w:t>未完成指标</w:t>
      </w:r>
    </w:p>
    <w:tbl>
      <w:tblPr>
        <w:tblStyle w:val="6"/>
        <w:tblW w:w="85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19" w:type="dxa"/>
            <w:shd w:val="clear" w:color="000000" w:fill="BFBFBF"/>
            <w:vAlign w:val="center"/>
          </w:tcPr>
          <w:p>
            <w:pP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c>
          <w:tcPr>
            <w:tcW w:w="3119" w:type="dxa"/>
            <w:shd w:val="clear" w:color="000000" w:fill="BFBFBF"/>
          </w:tcPr>
          <w:p>
            <w:pPr>
              <w:jc w:val="center"/>
              <w:rPr>
                <w:rFonts w:ascii="仿宋" w:hAnsi="仿宋" w:eastAsia="仿宋" w:cs="宋体"/>
                <w:b/>
                <w:bCs/>
              </w:rPr>
            </w:pPr>
            <w:r>
              <w:rPr>
                <w:rFonts w:hint="eastAsia" w:ascii="仿宋" w:hAnsi="仿宋" w:eastAsia="仿宋" w:cs="宋体"/>
                <w:b/>
                <w:bCs/>
              </w:rPr>
              <w:t>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宋体" w:hAnsi="宋体" w:cs="宋体"/>
              </w:rPr>
            </w:pPr>
            <w:r>
              <w:rPr>
                <w:rFonts w:hint="eastAsia" w:ascii="宋体" w:hAnsi="宋体" w:cs="宋体"/>
              </w:rPr>
              <w:t>临时工月工资</w:t>
            </w:r>
          </w:p>
        </w:tc>
        <w:tc>
          <w:tcPr>
            <w:tcW w:w="2268" w:type="dxa"/>
            <w:vAlign w:val="center"/>
          </w:tcPr>
          <w:p>
            <w:pPr>
              <w:jc w:val="center"/>
              <w:rPr>
                <w:rFonts w:ascii="宋体" w:hAnsi="宋体" w:cs="宋体"/>
              </w:rPr>
            </w:pPr>
            <w:r>
              <w:rPr>
                <w:rFonts w:hint="eastAsia" w:ascii="宋体" w:hAnsi="宋体" w:cs="宋体"/>
              </w:rPr>
              <w:t>75.00%</w:t>
            </w:r>
          </w:p>
        </w:tc>
        <w:tc>
          <w:tcPr>
            <w:tcW w:w="3119" w:type="dxa"/>
            <w:vAlign w:val="center"/>
          </w:tcPr>
          <w:p>
            <w:pPr>
              <w:jc w:val="center"/>
              <w:rPr>
                <w:rFonts w:ascii="宋体" w:hAnsi="宋体" w:cs="宋体"/>
              </w:rPr>
            </w:pPr>
            <w:r>
              <w:rPr>
                <w:rFonts w:hint="eastAsia" w:ascii="宋体" w:hAnsi="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宋体" w:hAnsi="宋体" w:cs="宋体"/>
              </w:rPr>
            </w:pPr>
            <w:r>
              <w:rPr>
                <w:rFonts w:hint="eastAsia" w:ascii="宋体" w:hAnsi="宋体" w:cs="宋体"/>
              </w:rPr>
              <w:t>计划用电量</w:t>
            </w:r>
          </w:p>
        </w:tc>
        <w:tc>
          <w:tcPr>
            <w:tcW w:w="2268" w:type="dxa"/>
            <w:vAlign w:val="center"/>
          </w:tcPr>
          <w:p>
            <w:pPr>
              <w:jc w:val="center"/>
              <w:rPr>
                <w:rFonts w:ascii="宋体" w:hAnsi="宋体" w:cs="宋体"/>
              </w:rPr>
            </w:pPr>
            <w:r>
              <w:rPr>
                <w:rFonts w:hint="eastAsia" w:ascii="宋体" w:hAnsi="宋体" w:cs="宋体"/>
              </w:rPr>
              <w:t>97.22%</w:t>
            </w:r>
          </w:p>
        </w:tc>
        <w:tc>
          <w:tcPr>
            <w:tcW w:w="3119" w:type="dxa"/>
            <w:vAlign w:val="center"/>
          </w:tcPr>
          <w:p>
            <w:pPr>
              <w:jc w:val="center"/>
              <w:rPr>
                <w:rFonts w:ascii="宋体" w:hAnsi="宋体" w:cs="宋体"/>
              </w:rPr>
            </w:pPr>
            <w:r>
              <w:rPr>
                <w:rFonts w:hint="eastAsia" w:ascii="宋体" w:hAnsi="宋体" w:cs="宋体"/>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宋体" w:hAnsi="宋体" w:cs="宋体"/>
              </w:rPr>
            </w:pPr>
            <w:r>
              <w:rPr>
                <w:rFonts w:hint="eastAsia" w:ascii="宋体" w:hAnsi="宋体" w:cs="宋体"/>
              </w:rPr>
              <w:t>计划用水量（吨）</w:t>
            </w:r>
          </w:p>
        </w:tc>
        <w:tc>
          <w:tcPr>
            <w:tcW w:w="2268" w:type="dxa"/>
            <w:vAlign w:val="center"/>
          </w:tcPr>
          <w:p>
            <w:pPr>
              <w:jc w:val="center"/>
              <w:rPr>
                <w:rFonts w:ascii="宋体" w:hAnsi="宋体" w:cs="宋体"/>
              </w:rPr>
            </w:pPr>
            <w:r>
              <w:rPr>
                <w:rFonts w:hint="eastAsia" w:ascii="宋体" w:hAnsi="宋体" w:cs="宋体"/>
              </w:rPr>
              <w:t>93.33%</w:t>
            </w:r>
          </w:p>
        </w:tc>
        <w:tc>
          <w:tcPr>
            <w:tcW w:w="3119" w:type="dxa"/>
            <w:vAlign w:val="center"/>
          </w:tcPr>
          <w:p>
            <w:pPr>
              <w:jc w:val="center"/>
              <w:rPr>
                <w:rFonts w:ascii="宋体" w:hAnsi="宋体" w:cs="宋体"/>
              </w:rPr>
            </w:pPr>
            <w:r>
              <w:rPr>
                <w:rFonts w:hint="eastAsia" w:ascii="宋体" w:hAnsi="宋体" w:cs="宋体"/>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宋体" w:hAnsi="宋体" w:cs="宋体"/>
              </w:rPr>
            </w:pPr>
            <w:r>
              <w:rPr>
                <w:rFonts w:hint="eastAsia" w:ascii="宋体" w:hAnsi="宋体" w:cs="宋体"/>
              </w:rPr>
              <w:t>单位用水成本</w:t>
            </w:r>
          </w:p>
        </w:tc>
        <w:tc>
          <w:tcPr>
            <w:tcW w:w="2268" w:type="dxa"/>
            <w:vAlign w:val="center"/>
          </w:tcPr>
          <w:p>
            <w:pPr>
              <w:jc w:val="center"/>
              <w:rPr>
                <w:rFonts w:ascii="宋体" w:hAnsi="宋体" w:cs="宋体"/>
              </w:rPr>
            </w:pPr>
            <w:r>
              <w:rPr>
                <w:rFonts w:hint="eastAsia" w:ascii="宋体" w:hAnsi="宋体" w:cs="宋体"/>
              </w:rPr>
              <w:t>1500.00%</w:t>
            </w:r>
          </w:p>
        </w:tc>
        <w:tc>
          <w:tcPr>
            <w:tcW w:w="3119" w:type="dxa"/>
            <w:vAlign w:val="center"/>
          </w:tcPr>
          <w:p>
            <w:pPr>
              <w:jc w:val="center"/>
              <w:rPr>
                <w:rFonts w:ascii="宋体" w:hAnsi="宋体" w:cs="宋体"/>
              </w:rPr>
            </w:pPr>
            <w:r>
              <w:rPr>
                <w:rFonts w:hint="eastAsia" w:ascii="宋体" w:hAnsi="宋体" w:cs="宋体"/>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宋体" w:hAnsi="宋体" w:cs="宋体"/>
              </w:rPr>
            </w:pPr>
            <w:r>
              <w:rPr>
                <w:rFonts w:hint="eastAsia" w:ascii="宋体" w:hAnsi="宋体" w:cs="宋体"/>
              </w:rPr>
              <w:t>单位用电成本</w:t>
            </w:r>
          </w:p>
        </w:tc>
        <w:tc>
          <w:tcPr>
            <w:tcW w:w="2268" w:type="dxa"/>
            <w:vAlign w:val="center"/>
          </w:tcPr>
          <w:p>
            <w:pPr>
              <w:jc w:val="center"/>
              <w:rPr>
                <w:rFonts w:ascii="宋体" w:hAnsi="宋体" w:cs="宋体"/>
              </w:rPr>
            </w:pPr>
            <w:r>
              <w:rPr>
                <w:rFonts w:hint="eastAsia" w:ascii="宋体" w:hAnsi="宋体" w:cs="宋体"/>
              </w:rPr>
              <w:t>10.00%</w:t>
            </w:r>
          </w:p>
        </w:tc>
        <w:tc>
          <w:tcPr>
            <w:tcW w:w="3119" w:type="dxa"/>
            <w:vAlign w:val="center"/>
          </w:tcPr>
          <w:p>
            <w:pPr>
              <w:jc w:val="center"/>
              <w:rPr>
                <w:rFonts w:ascii="宋体" w:hAnsi="宋体" w:cs="宋体"/>
              </w:rPr>
            </w:pPr>
            <w:r>
              <w:rPr>
                <w:rFonts w:hint="eastAsia" w:ascii="宋体" w:hAnsi="宋体" w:cs="宋体"/>
              </w:rPr>
              <w:t>90%</w:t>
            </w:r>
          </w:p>
        </w:tc>
      </w:tr>
    </w:tbl>
    <w:p>
      <w:pPr>
        <w:pStyle w:val="17"/>
        <w:spacing w:before="0" w:after="0" w:line="520" w:lineRule="exact"/>
        <w:ind w:firstLine="560" w:firstLineChars="200"/>
        <w:rPr>
          <w:rFonts w:ascii="微软雅黑" w:hAnsi="微软雅黑" w:eastAsia="微软雅黑"/>
          <w:bCs w:val="0"/>
          <w:sz w:val="28"/>
          <w:szCs w:val="28"/>
        </w:rPr>
      </w:pPr>
      <w:bookmarkStart w:id="6" w:name="_Toc398675340"/>
      <w:bookmarkStart w:id="7" w:name="_Toc490218269"/>
      <w:bookmarkStart w:id="8" w:name="_Toc488925447"/>
      <w:bookmarkStart w:id="9" w:name="_Toc517260675"/>
      <w:r>
        <w:rPr>
          <w:rFonts w:hint="eastAsia" w:ascii="微软雅黑" w:hAnsi="微软雅黑" w:eastAsia="微软雅黑"/>
          <w:bCs w:val="0"/>
          <w:sz w:val="28"/>
          <w:szCs w:val="28"/>
        </w:rPr>
        <w:t>三、</w:t>
      </w:r>
      <w:bookmarkEnd w:id="6"/>
      <w:bookmarkEnd w:id="7"/>
      <w:bookmarkEnd w:id="8"/>
      <w:r>
        <w:rPr>
          <w:rFonts w:hint="eastAsia" w:ascii="微软雅黑" w:hAnsi="微软雅黑" w:eastAsia="微软雅黑"/>
          <w:bCs w:val="0"/>
          <w:sz w:val="28"/>
          <w:szCs w:val="28"/>
        </w:rPr>
        <w:t>存在问题和改进措施建议</w:t>
      </w:r>
      <w:bookmarkEnd w:id="9"/>
    </w:p>
    <w:p>
      <w:pPr>
        <w:pStyle w:val="12"/>
        <w:spacing w:before="0" w:after="0" w:line="520" w:lineRule="exact"/>
        <w:ind w:firstLine="560"/>
        <w:rPr>
          <w:rFonts w:ascii="微软雅黑" w:hAnsi="微软雅黑" w:eastAsia="微软雅黑"/>
          <w:b w:val="0"/>
          <w:bCs w:val="0"/>
          <w:szCs w:val="28"/>
          <w:lang w:val="en-US"/>
        </w:rPr>
      </w:pPr>
      <w:bookmarkStart w:id="10" w:name="_Toc517260677"/>
      <w:r>
        <w:rPr>
          <w:rFonts w:hint="eastAsia" w:ascii="微软雅黑" w:hAnsi="微软雅黑" w:eastAsia="微软雅黑"/>
          <w:b w:val="0"/>
          <w:bCs w:val="0"/>
          <w:szCs w:val="28"/>
          <w:lang w:val="en-US"/>
        </w:rPr>
        <w:t>（一）改进措施和建议</w:t>
      </w:r>
      <w:bookmarkEnd w:id="10"/>
    </w:p>
    <w:p>
      <w:pPr>
        <w:pStyle w:val="12"/>
        <w:numPr>
          <w:ilvl w:val="0"/>
          <w:numId w:val="3"/>
        </w:numPr>
        <w:spacing w:before="0" w:after="0" w:line="520" w:lineRule="exact"/>
        <w:ind w:left="0" w:firstLine="560"/>
        <w:rPr>
          <w:rFonts w:ascii="微软雅黑" w:hAnsi="微软雅黑" w:eastAsia="微软雅黑"/>
          <w:b w:val="0"/>
          <w:bCs w:val="0"/>
          <w:szCs w:val="28"/>
          <w:lang w:val="en-US"/>
        </w:rPr>
      </w:pPr>
      <w:r>
        <w:rPr>
          <w:rFonts w:hint="eastAsia" w:ascii="微软雅黑" w:hAnsi="微软雅黑" w:eastAsia="微软雅黑"/>
          <w:b w:val="0"/>
          <w:bCs w:val="0"/>
          <w:szCs w:val="28"/>
          <w:lang w:val="en-US"/>
        </w:rPr>
        <w:t>对项目决策的建议：</w:t>
      </w:r>
    </w:p>
    <w:p>
      <w:pPr>
        <w:pStyle w:val="19"/>
        <w:spacing w:line="520" w:lineRule="exact"/>
        <w:rPr>
          <w:rFonts w:ascii="微软雅黑" w:hAnsi="微软雅黑" w:eastAsia="微软雅黑"/>
        </w:rPr>
      </w:pPr>
      <w:r>
        <w:rPr>
          <w:rFonts w:hint="eastAsia" w:ascii="微软雅黑" w:hAnsi="微软雅黑" w:eastAsia="微软雅黑"/>
        </w:rPr>
        <w:t>严格支出审批流程，加强管理</w:t>
      </w:r>
    </w:p>
    <w:p>
      <w:pPr>
        <w:pStyle w:val="12"/>
        <w:numPr>
          <w:ilvl w:val="0"/>
          <w:numId w:val="3"/>
        </w:numPr>
        <w:spacing w:before="0" w:after="0" w:line="520" w:lineRule="exact"/>
        <w:ind w:left="0" w:firstLine="560"/>
        <w:rPr>
          <w:rFonts w:ascii="微软雅黑" w:hAnsi="微软雅黑" w:eastAsia="微软雅黑"/>
          <w:b w:val="0"/>
          <w:bCs w:val="0"/>
          <w:szCs w:val="28"/>
          <w:lang w:val="en-US"/>
        </w:rPr>
      </w:pPr>
      <w:r>
        <w:rPr>
          <w:rFonts w:hint="eastAsia" w:ascii="微软雅黑" w:hAnsi="微软雅黑" w:eastAsia="微软雅黑"/>
          <w:b w:val="0"/>
          <w:bCs w:val="0"/>
          <w:szCs w:val="28"/>
          <w:lang w:val="en-US"/>
        </w:rPr>
        <w:t>对预算安排与执行的建议：</w:t>
      </w:r>
    </w:p>
    <w:p>
      <w:pPr>
        <w:pStyle w:val="19"/>
        <w:spacing w:line="520" w:lineRule="exact"/>
        <w:rPr>
          <w:rFonts w:ascii="微软雅黑" w:hAnsi="微软雅黑" w:eastAsia="微软雅黑"/>
        </w:rPr>
      </w:pPr>
      <w:r>
        <w:rPr>
          <w:rFonts w:hint="eastAsia" w:ascii="微软雅黑" w:hAnsi="微软雅黑" w:eastAsia="微软雅黑"/>
        </w:rPr>
        <w:t>增加年初预算，保障单位运转，加快支出进度</w:t>
      </w:r>
    </w:p>
    <w:p>
      <w:pPr>
        <w:pStyle w:val="12"/>
        <w:numPr>
          <w:ilvl w:val="0"/>
          <w:numId w:val="3"/>
        </w:numPr>
        <w:spacing w:before="0" w:after="0" w:line="520" w:lineRule="exact"/>
        <w:ind w:left="0" w:firstLine="560"/>
        <w:rPr>
          <w:rFonts w:ascii="微软雅黑" w:hAnsi="微软雅黑" w:eastAsia="微软雅黑"/>
          <w:b w:val="0"/>
          <w:bCs w:val="0"/>
          <w:szCs w:val="28"/>
          <w:lang w:val="en-US"/>
        </w:rPr>
      </w:pPr>
      <w:r>
        <w:rPr>
          <w:rFonts w:hint="eastAsia" w:ascii="微软雅黑" w:hAnsi="微软雅黑" w:eastAsia="微软雅黑"/>
          <w:b w:val="0"/>
          <w:bCs w:val="0"/>
          <w:szCs w:val="28"/>
          <w:lang w:val="en-US"/>
        </w:rPr>
        <w:t>对资金管理的建议：</w:t>
      </w:r>
    </w:p>
    <w:p>
      <w:pPr>
        <w:pStyle w:val="19"/>
        <w:spacing w:line="520" w:lineRule="exact"/>
        <w:rPr>
          <w:rFonts w:ascii="微软雅黑" w:hAnsi="微软雅黑" w:eastAsia="微软雅黑"/>
        </w:rPr>
      </w:pPr>
      <w:r>
        <w:rPr>
          <w:rFonts w:hint="eastAsia" w:ascii="微软雅黑" w:hAnsi="微软雅黑" w:eastAsia="微软雅黑"/>
        </w:rPr>
        <w:t>规范预算资金使用，强化预算执行与监督。</w:t>
      </w:r>
    </w:p>
    <w:p>
      <w:pPr>
        <w:pStyle w:val="12"/>
        <w:numPr>
          <w:ilvl w:val="0"/>
          <w:numId w:val="3"/>
        </w:numPr>
        <w:spacing w:before="0" w:after="0" w:line="520" w:lineRule="exact"/>
        <w:ind w:left="0" w:firstLine="560"/>
        <w:rPr>
          <w:rFonts w:ascii="微软雅黑" w:hAnsi="微软雅黑" w:eastAsia="微软雅黑"/>
          <w:b w:val="0"/>
          <w:bCs w:val="0"/>
          <w:szCs w:val="28"/>
          <w:lang w:val="en-US"/>
        </w:rPr>
      </w:pPr>
      <w:r>
        <w:rPr>
          <w:rFonts w:hint="eastAsia" w:ascii="微软雅黑" w:hAnsi="微软雅黑" w:eastAsia="微软雅黑"/>
          <w:b w:val="0"/>
          <w:bCs w:val="0"/>
          <w:szCs w:val="28"/>
          <w:lang w:val="en-US"/>
        </w:rPr>
        <w:t>对项目管理的建议：</w:t>
      </w:r>
    </w:p>
    <w:p>
      <w:pPr>
        <w:pStyle w:val="19"/>
        <w:spacing w:line="520" w:lineRule="exact"/>
        <w:rPr>
          <w:rFonts w:ascii="微软雅黑" w:hAnsi="微软雅黑" w:eastAsia="微软雅黑"/>
        </w:rPr>
      </w:pPr>
      <w:r>
        <w:rPr>
          <w:rFonts w:hint="eastAsia" w:ascii="微软雅黑" w:hAnsi="微软雅黑" w:eastAsia="微软雅黑"/>
        </w:rPr>
        <w:t>完善单位内控制度建设，严控一般公共服务支出。</w:t>
      </w:r>
    </w:p>
    <w:p>
      <w:pPr>
        <w:pStyle w:val="12"/>
        <w:numPr>
          <w:ilvl w:val="0"/>
          <w:numId w:val="3"/>
        </w:numPr>
        <w:spacing w:before="0" w:after="0" w:line="520" w:lineRule="exact"/>
        <w:ind w:left="0" w:firstLine="560"/>
        <w:rPr>
          <w:rFonts w:ascii="微软雅黑" w:hAnsi="微软雅黑" w:eastAsia="微软雅黑"/>
          <w:b w:val="0"/>
          <w:bCs w:val="0"/>
          <w:szCs w:val="28"/>
          <w:lang w:val="en-US"/>
        </w:rPr>
      </w:pPr>
      <w:r>
        <w:rPr>
          <w:rFonts w:hint="eastAsia" w:ascii="微软雅黑" w:hAnsi="微软雅黑" w:eastAsia="微软雅黑"/>
          <w:b w:val="0"/>
          <w:bCs w:val="0"/>
          <w:szCs w:val="28"/>
          <w:lang w:val="en-US"/>
        </w:rPr>
        <w:t>其它：</w:t>
      </w:r>
    </w:p>
    <w:p>
      <w:pPr>
        <w:pStyle w:val="19"/>
        <w:spacing w:line="520" w:lineRule="exact"/>
        <w:rPr>
          <w:rFonts w:ascii="微软雅黑" w:hAnsi="微软雅黑" w:eastAsia="微软雅黑"/>
        </w:rPr>
      </w:pPr>
      <w:r>
        <w:rPr>
          <w:rFonts w:hint="eastAsia" w:ascii="微软雅黑" w:hAnsi="微软雅黑" w:eastAsia="微软雅黑"/>
        </w:rPr>
        <w:t>无</w:t>
      </w:r>
    </w:p>
    <w:p>
      <w:pPr>
        <w:pStyle w:val="12"/>
        <w:numPr>
          <w:ilvl w:val="0"/>
          <w:numId w:val="3"/>
        </w:numPr>
        <w:spacing w:before="0" w:after="0" w:line="520" w:lineRule="exact"/>
        <w:ind w:left="0" w:firstLine="560"/>
        <w:rPr>
          <w:rFonts w:ascii="微软雅黑" w:hAnsi="微软雅黑" w:eastAsia="微软雅黑"/>
          <w:b w:val="0"/>
          <w:bCs w:val="0"/>
          <w:szCs w:val="28"/>
          <w:lang w:val="en-US"/>
        </w:rPr>
      </w:pPr>
      <w:r>
        <w:rPr>
          <w:rFonts w:hint="eastAsia" w:ascii="微软雅黑" w:hAnsi="微软雅黑" w:eastAsia="微软雅黑"/>
          <w:b w:val="0"/>
          <w:bCs w:val="0"/>
          <w:szCs w:val="28"/>
          <w:lang w:val="en-US"/>
        </w:rPr>
        <w:t>备注：</w:t>
      </w:r>
    </w:p>
    <w:p>
      <w:pPr>
        <w:pStyle w:val="19"/>
        <w:spacing w:line="520" w:lineRule="exact"/>
        <w:rPr>
          <w:rFonts w:ascii="微软雅黑" w:hAnsi="微软雅黑" w:eastAsia="微软雅黑"/>
        </w:rPr>
      </w:pPr>
      <w:r>
        <w:rPr>
          <w:rFonts w:hint="eastAsia" w:ascii="微软雅黑" w:hAnsi="微软雅黑" w:eastAsia="微软雅黑"/>
        </w:rPr>
        <w:t>无</w:t>
      </w:r>
    </w:p>
    <w:p>
      <w:pPr>
        <w:spacing w:after="0" w:line="520" w:lineRule="exact"/>
        <w:ind w:firstLine="560" w:firstLineChars="200"/>
        <w:rPr>
          <w:sz w:val="28"/>
          <w:szCs w:val="28"/>
        </w:rPr>
      </w:pPr>
    </w:p>
    <w:p>
      <w:pPr>
        <w:numPr>
          <w:ilvl w:val="0"/>
          <w:numId w:val="2"/>
        </w:numPr>
        <w:spacing w:after="0" w:line="520" w:lineRule="exact"/>
        <w:ind w:left="0" w:leftChars="0" w:firstLine="560" w:firstLineChars="200"/>
        <w:rPr>
          <w:rFonts w:hint="eastAsia"/>
          <w:b/>
          <w:sz w:val="28"/>
          <w:szCs w:val="28"/>
        </w:rPr>
      </w:pPr>
      <w:r>
        <w:rPr>
          <w:rFonts w:hint="eastAsia"/>
          <w:b/>
          <w:sz w:val="28"/>
          <w:szCs w:val="28"/>
        </w:rPr>
        <w:t>部门评价项目绩效评价结果。</w:t>
      </w:r>
    </w:p>
    <w:p>
      <w:pPr>
        <w:numPr>
          <w:ilvl w:val="0"/>
          <w:numId w:val="0"/>
        </w:numPr>
        <w:spacing w:after="0" w:line="520" w:lineRule="exact"/>
        <w:ind w:firstLine="560" w:firstLineChars="200"/>
        <w:rPr>
          <w:sz w:val="28"/>
          <w:szCs w:val="28"/>
        </w:rPr>
      </w:pPr>
      <w:r>
        <w:rPr>
          <w:rFonts w:hint="eastAsia"/>
          <w:sz w:val="28"/>
          <w:szCs w:val="28"/>
        </w:rPr>
        <w:t>我单位本年度没有开展部门评价项目绩效评价</w:t>
      </w:r>
    </w:p>
    <w:p>
      <w:pPr>
        <w:spacing w:after="0" w:line="520" w:lineRule="exact"/>
        <w:ind w:firstLine="420" w:firstLineChars="150"/>
        <w:rPr>
          <w:b/>
          <w:sz w:val="28"/>
          <w:szCs w:val="28"/>
        </w:rPr>
      </w:pPr>
      <w:r>
        <w:rPr>
          <w:rFonts w:hint="eastAsia"/>
          <w:b/>
          <w:sz w:val="28"/>
          <w:szCs w:val="28"/>
        </w:rPr>
        <w:t>（五）其他需要说明的事项</w:t>
      </w:r>
    </w:p>
    <w:p>
      <w:pPr>
        <w:spacing w:after="0" w:line="520" w:lineRule="exact"/>
        <w:ind w:firstLine="643" w:firstLineChars="200"/>
        <w:rPr>
          <w:rFonts w:ascii="微软雅黑" w:hAnsi="微软雅黑" w:cs="宋体"/>
          <w:color w:val="000000"/>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color w:val="000000"/>
          <w:sz w:val="28"/>
          <w:szCs w:val="28"/>
        </w:rPr>
        <w:t>年</w:t>
      </w:r>
      <w:r>
        <w:rPr>
          <w:rFonts w:hint="eastAsia" w:ascii="微软雅黑" w:hAnsi="微软雅黑"/>
          <w:sz w:val="28"/>
          <w:szCs w:val="28"/>
        </w:rPr>
        <w:t>初预算0.05万元，支出决算</w:t>
      </w:r>
      <w:r>
        <w:rPr>
          <w:rFonts w:hint="eastAsia" w:ascii="微软雅黑" w:hAnsi="微软雅黑" w:cs="宋体"/>
          <w:color w:val="000000"/>
          <w:sz w:val="28"/>
          <w:szCs w:val="28"/>
        </w:rPr>
        <w:t>0.044</w:t>
      </w:r>
      <w:r>
        <w:rPr>
          <w:rFonts w:hint="eastAsia" w:ascii="微软雅黑" w:hAnsi="微软雅黑"/>
          <w:sz w:val="28"/>
          <w:szCs w:val="28"/>
        </w:rPr>
        <w:t>万元，完成年初预算的88%</w:t>
      </w:r>
      <w:r>
        <w:rPr>
          <w:rFonts w:hint="eastAsia" w:ascii="微软雅黑" w:hAnsi="微软雅黑"/>
          <w:color w:val="000000"/>
          <w:sz w:val="28"/>
          <w:szCs w:val="28"/>
        </w:rPr>
        <w:t>，比上年增加</w:t>
      </w:r>
      <w:r>
        <w:rPr>
          <w:rFonts w:hint="eastAsia" w:ascii="微软雅黑" w:hAnsi="微软雅黑" w:cs="宋体"/>
          <w:color w:val="000000"/>
          <w:sz w:val="28"/>
          <w:szCs w:val="28"/>
        </w:rPr>
        <w:t>0.044</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%，原因是2020年没有参加或组织培训，没有培训费用支出</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1</w:t>
      </w:r>
      <w:r>
        <w:rPr>
          <w:rFonts w:ascii="微软雅黑" w:hAnsi="微软雅黑"/>
          <w:sz w:val="28"/>
          <w:szCs w:val="28"/>
        </w:rPr>
        <w:t>个，组织培训</w:t>
      </w:r>
      <w:r>
        <w:rPr>
          <w:rFonts w:hint="eastAsia" w:ascii="微软雅黑" w:hAnsi="微软雅黑"/>
          <w:sz w:val="28"/>
          <w:szCs w:val="28"/>
        </w:rPr>
        <w:t>2</w:t>
      </w:r>
      <w:r>
        <w:rPr>
          <w:rFonts w:ascii="微软雅黑" w:hAnsi="微软雅黑"/>
          <w:sz w:val="28"/>
          <w:szCs w:val="28"/>
        </w:rPr>
        <w:t>人次。主要为</w:t>
      </w:r>
      <w:r>
        <w:rPr>
          <w:rFonts w:hint="eastAsia" w:ascii="微软雅黑" w:hAnsi="微软雅黑"/>
          <w:sz w:val="28"/>
          <w:szCs w:val="28"/>
        </w:rPr>
        <w:t>会计年度</w:t>
      </w:r>
      <w:r>
        <w:rPr>
          <w:rFonts w:ascii="微软雅黑" w:hAnsi="微软雅黑"/>
          <w:sz w:val="28"/>
          <w:szCs w:val="28"/>
        </w:rPr>
        <w:t>培</w:t>
      </w:r>
      <w:r>
        <w:rPr>
          <w:rFonts w:hint="eastAsia" w:ascii="微软雅黑" w:hAnsi="微软雅黑"/>
          <w:sz w:val="28"/>
          <w:szCs w:val="28"/>
        </w:rPr>
        <w:t>训</w:t>
      </w:r>
      <w:r>
        <w:rPr>
          <w:rFonts w:ascii="微软雅黑" w:hAnsi="微软雅黑"/>
          <w:sz w:val="28"/>
          <w:szCs w:val="28"/>
        </w:rPr>
        <w:t>。</w:t>
      </w:r>
    </w:p>
    <w:tbl>
      <w:tblPr>
        <w:tblStyle w:val="6"/>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0.05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0.044</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0.044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88</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bl>
    <w:p>
      <w:pPr>
        <w:spacing w:after="0" w:line="520" w:lineRule="exact"/>
        <w:ind w:firstLine="560" w:firstLineChars="200"/>
        <w:rPr>
          <w:rFonts w:ascii="微软雅黑" w:hAnsi="微软雅黑" w:cs="宋体"/>
          <w:color w:val="000000"/>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color w:val="000000"/>
          <w:sz w:val="28"/>
          <w:szCs w:val="28"/>
        </w:rPr>
        <w:t>年</w:t>
      </w:r>
      <w:r>
        <w:rPr>
          <w:rFonts w:hint="eastAsia" w:ascii="微软雅黑" w:hAnsi="微软雅黑"/>
          <w:sz w:val="28"/>
          <w:szCs w:val="28"/>
        </w:rPr>
        <w:t>初预算0万元，支出决算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万元，完成年初预算的0%</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%，原因是我单位没有会议费用支出</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sz w:val="28"/>
          <w:szCs w:val="28"/>
        </w:rPr>
        <w:t>0</w:t>
      </w:r>
      <w:r>
        <w:rPr>
          <w:rFonts w:ascii="微软雅黑" w:hAnsi="微软雅黑"/>
          <w:sz w:val="28"/>
          <w:szCs w:val="28"/>
        </w:rPr>
        <w:t>个，参加会议</w:t>
      </w:r>
      <w:r>
        <w:rPr>
          <w:rFonts w:hint="eastAsia" w:ascii="微软雅黑" w:hAnsi="微软雅黑"/>
          <w:sz w:val="28"/>
          <w:szCs w:val="28"/>
        </w:rPr>
        <w:t>0</w:t>
      </w:r>
      <w:r>
        <w:rPr>
          <w:rFonts w:ascii="微软雅黑" w:hAnsi="微软雅黑"/>
          <w:sz w:val="28"/>
          <w:szCs w:val="28"/>
        </w:rPr>
        <w:t>人次。主要</w:t>
      </w:r>
      <w:r>
        <w:rPr>
          <w:rFonts w:hint="eastAsia" w:ascii="微软雅黑" w:hAnsi="微软雅黑"/>
          <w:sz w:val="28"/>
          <w:szCs w:val="28"/>
        </w:rPr>
        <w:t>原因是我部门2021年没有召开会议</w:t>
      </w:r>
      <w:r>
        <w:rPr>
          <w:rFonts w:ascii="微软雅黑" w:hAnsi="微软雅黑"/>
          <w:sz w:val="28"/>
          <w:szCs w:val="28"/>
        </w:rPr>
        <w:t>。</w:t>
      </w:r>
    </w:p>
    <w:tbl>
      <w:tblPr>
        <w:tblStyle w:val="6"/>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bl>
    <w:p>
      <w:pPr>
        <w:spacing w:after="0"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after="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w:t>
      </w:r>
      <w:r>
        <w:rPr>
          <w:rFonts w:hint="eastAsia" w:ascii="仿宋_GB2312" w:hAnsi="仿宋" w:eastAsia="仿宋_GB2312"/>
          <w:sz w:val="32"/>
          <w:szCs w:val="32"/>
          <w:lang w:eastAsia="zh-CN"/>
        </w:rPr>
        <w:t>部门</w:t>
      </w:r>
      <w:r>
        <w:rPr>
          <w:rFonts w:hint="eastAsia" w:ascii="仿宋_GB2312" w:hAnsi="仿宋" w:eastAsia="仿宋_GB2312"/>
          <w:sz w:val="32"/>
          <w:szCs w:val="32"/>
        </w:rPr>
        <w:t>无其他需要说明的事项。</w:t>
      </w:r>
    </w:p>
    <w:p>
      <w:pPr>
        <w:spacing w:after="0" w:line="520" w:lineRule="exact"/>
        <w:rPr>
          <w:b/>
          <w:sz w:val="28"/>
          <w:szCs w:val="28"/>
        </w:rPr>
      </w:pPr>
      <w:r>
        <w:rPr>
          <w:rFonts w:hint="eastAsia"/>
          <w:b/>
          <w:sz w:val="28"/>
          <w:szCs w:val="28"/>
        </w:rPr>
        <w:t>第四部分 名词解释</w:t>
      </w:r>
    </w:p>
    <w:p>
      <w:pPr>
        <w:spacing w:after="0" w:line="520" w:lineRule="exact"/>
        <w:ind w:firstLine="560"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after="0" w:line="520" w:lineRule="exact"/>
        <w:ind w:firstLine="560"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after="0" w:line="520" w:lineRule="exact"/>
        <w:ind w:firstLine="560"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after="0" w:line="520" w:lineRule="exact"/>
        <w:ind w:firstLine="560"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after="0" w:line="520" w:lineRule="exact"/>
        <w:ind w:firstLine="560"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after="0" w:line="520" w:lineRule="exact"/>
        <w:ind w:firstLine="560"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after="0" w:line="520" w:lineRule="exact"/>
        <w:ind w:firstLine="560"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after="0" w:line="520" w:lineRule="exact"/>
        <w:ind w:firstLine="560"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after="0" w:line="520" w:lineRule="exact"/>
        <w:ind w:firstLine="560"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after="0" w:line="520" w:lineRule="exact"/>
        <w:ind w:firstLine="560"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after="0" w:line="520" w:lineRule="exact"/>
        <w:ind w:firstLine="560"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after="0" w:line="520" w:lineRule="exact"/>
        <w:ind w:firstLine="560"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spacing w:after="0" w:line="520" w:lineRule="exact"/>
        <w:ind w:firstLine="560"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spacing w:after="0" w:line="520" w:lineRule="exact"/>
        <w:ind w:firstLine="560"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spacing w:after="0" w:line="520" w:lineRule="exact"/>
        <w:ind w:firstLine="560" w:firstLineChars="200"/>
        <w:rPr>
          <w:sz w:val="28"/>
          <w:szCs w:val="28"/>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after="0" w:line="520" w:lineRule="exact"/>
        <w:rPr>
          <w:rFonts w:hint="eastAsia"/>
          <w:b/>
          <w:sz w:val="28"/>
          <w:szCs w:val="28"/>
        </w:rPr>
      </w:pPr>
      <w:r>
        <w:rPr>
          <w:rFonts w:hint="eastAsia"/>
          <w:b/>
          <w:sz w:val="28"/>
          <w:szCs w:val="28"/>
        </w:rPr>
        <w:t>第五部分 附件</w:t>
      </w:r>
    </w:p>
    <w:p>
      <w:pPr>
        <w:spacing w:after="0" w:line="520" w:lineRule="exact"/>
        <w:rPr>
          <w:sz w:val="28"/>
          <w:szCs w:val="28"/>
        </w:rPr>
        <w:sectPr>
          <w:pgSz w:w="11906" w:h="16838"/>
          <w:pgMar w:top="1440" w:right="1800" w:bottom="1440" w:left="1800" w:header="708" w:footer="708" w:gutter="0"/>
          <w:pgNumType w:start="1"/>
          <w:cols w:space="708" w:num="1"/>
          <w:docGrid w:linePitch="360" w:charSpace="0"/>
        </w:sectPr>
      </w:pPr>
      <w:r>
        <w:rPr>
          <w:rFonts w:hint="eastAsia"/>
          <w:sz w:val="28"/>
          <w:szCs w:val="28"/>
        </w:rPr>
        <w:t xml:space="preserve">       </w:t>
      </w:r>
      <w:r>
        <w:rPr>
          <w:rFonts w:hint="eastAsia" w:ascii="Tahoma" w:hAnsi="Tahoma" w:eastAsia="微软雅黑" w:cs="Times New Roman"/>
          <w:b w:val="0"/>
          <w:bCs w:val="0"/>
          <w:sz w:val="28"/>
          <w:szCs w:val="28"/>
          <w:lang w:val="en-US" w:eastAsia="zh-CN" w:bidi="ar-SA"/>
        </w:rPr>
        <w:t>单位运转经费项目绩效自评</w:t>
      </w:r>
      <w:r>
        <w:rPr>
          <w:rFonts w:hint="eastAsia"/>
          <w:sz w:val="28"/>
          <w:szCs w:val="28"/>
        </w:rPr>
        <w:t>。</w:t>
      </w:r>
    </w:p>
    <w:p>
      <w:pPr>
        <w:spacing w:after="0" w:line="520" w:lineRule="exact"/>
        <w:rPr>
          <w:b/>
          <w:sz w:val="28"/>
          <w:szCs w:val="28"/>
        </w:rPr>
      </w:pPr>
      <w:bookmarkStart w:id="11" w:name="_GoBack"/>
      <w:bookmarkEnd w:id="11"/>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065DE"/>
    <w:multiLevelType w:val="multilevel"/>
    <w:tmpl w:val="03D065D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0E4B83"/>
    <w:multiLevelType w:val="multilevel"/>
    <w:tmpl w:val="040E4B83"/>
    <w:lvl w:ilvl="0" w:tentative="0">
      <w:start w:val="1"/>
      <w:numFmt w:val="decimal"/>
      <w:lvlText w:val="3.2.%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3EA5C627"/>
    <w:multiLevelType w:val="singleLevel"/>
    <w:tmpl w:val="3EA5C62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TkzYTgwYzY3MzQ5YTNmNzJiYjViODU1MjY5N2I0NzYifQ=="/>
  </w:docVars>
  <w:rsids>
    <w:rsidRoot w:val="00D31D50"/>
    <w:rsid w:val="000034DB"/>
    <w:rsid w:val="00015092"/>
    <w:rsid w:val="000428B0"/>
    <w:rsid w:val="0005715E"/>
    <w:rsid w:val="0006353B"/>
    <w:rsid w:val="00063F13"/>
    <w:rsid w:val="00065A92"/>
    <w:rsid w:val="00072E2D"/>
    <w:rsid w:val="00086561"/>
    <w:rsid w:val="000A5B5D"/>
    <w:rsid w:val="000B4C5F"/>
    <w:rsid w:val="000B6182"/>
    <w:rsid w:val="000C4302"/>
    <w:rsid w:val="000D30E1"/>
    <w:rsid w:val="000F6790"/>
    <w:rsid w:val="001115D2"/>
    <w:rsid w:val="00112EF7"/>
    <w:rsid w:val="001151FD"/>
    <w:rsid w:val="00116783"/>
    <w:rsid w:val="00130F93"/>
    <w:rsid w:val="001313BC"/>
    <w:rsid w:val="001364F0"/>
    <w:rsid w:val="00137AEF"/>
    <w:rsid w:val="0014259E"/>
    <w:rsid w:val="00150E25"/>
    <w:rsid w:val="001625CD"/>
    <w:rsid w:val="00180459"/>
    <w:rsid w:val="00182E6D"/>
    <w:rsid w:val="001A3574"/>
    <w:rsid w:val="001A555A"/>
    <w:rsid w:val="001B4B3F"/>
    <w:rsid w:val="001D282C"/>
    <w:rsid w:val="001F0F01"/>
    <w:rsid w:val="001F6417"/>
    <w:rsid w:val="00207653"/>
    <w:rsid w:val="002160D1"/>
    <w:rsid w:val="0022359D"/>
    <w:rsid w:val="00225AAD"/>
    <w:rsid w:val="00234B1B"/>
    <w:rsid w:val="00244AD0"/>
    <w:rsid w:val="00250955"/>
    <w:rsid w:val="00257132"/>
    <w:rsid w:val="00261980"/>
    <w:rsid w:val="00263EBD"/>
    <w:rsid w:val="00280E08"/>
    <w:rsid w:val="002961D7"/>
    <w:rsid w:val="002A505B"/>
    <w:rsid w:val="002B5A91"/>
    <w:rsid w:val="002C1613"/>
    <w:rsid w:val="0032106F"/>
    <w:rsid w:val="00323B43"/>
    <w:rsid w:val="0032692D"/>
    <w:rsid w:val="00327F10"/>
    <w:rsid w:val="00331879"/>
    <w:rsid w:val="00345A54"/>
    <w:rsid w:val="00346E9C"/>
    <w:rsid w:val="0034710F"/>
    <w:rsid w:val="003567F3"/>
    <w:rsid w:val="00375439"/>
    <w:rsid w:val="00391C06"/>
    <w:rsid w:val="003A3622"/>
    <w:rsid w:val="003B55EA"/>
    <w:rsid w:val="003B706B"/>
    <w:rsid w:val="003D37D8"/>
    <w:rsid w:val="003D480B"/>
    <w:rsid w:val="003D560B"/>
    <w:rsid w:val="003E1913"/>
    <w:rsid w:val="003E27ED"/>
    <w:rsid w:val="003F3218"/>
    <w:rsid w:val="00402CD9"/>
    <w:rsid w:val="00410E1F"/>
    <w:rsid w:val="004129E8"/>
    <w:rsid w:val="00413DEB"/>
    <w:rsid w:val="004207FB"/>
    <w:rsid w:val="00424FEA"/>
    <w:rsid w:val="00426133"/>
    <w:rsid w:val="00433E52"/>
    <w:rsid w:val="004358AB"/>
    <w:rsid w:val="00440980"/>
    <w:rsid w:val="004474A0"/>
    <w:rsid w:val="00461E5E"/>
    <w:rsid w:val="00474F3A"/>
    <w:rsid w:val="00481E35"/>
    <w:rsid w:val="00481E91"/>
    <w:rsid w:val="004B1117"/>
    <w:rsid w:val="004B2FD8"/>
    <w:rsid w:val="004F1AE7"/>
    <w:rsid w:val="004F2386"/>
    <w:rsid w:val="004F3BD3"/>
    <w:rsid w:val="00510F56"/>
    <w:rsid w:val="00511167"/>
    <w:rsid w:val="00534286"/>
    <w:rsid w:val="00534DFD"/>
    <w:rsid w:val="00550786"/>
    <w:rsid w:val="00577BE6"/>
    <w:rsid w:val="00584792"/>
    <w:rsid w:val="00586AAF"/>
    <w:rsid w:val="00587E89"/>
    <w:rsid w:val="005B0968"/>
    <w:rsid w:val="005D49F3"/>
    <w:rsid w:val="005E4446"/>
    <w:rsid w:val="005F5CEF"/>
    <w:rsid w:val="005F7A3E"/>
    <w:rsid w:val="0060630C"/>
    <w:rsid w:val="0061244D"/>
    <w:rsid w:val="006138A3"/>
    <w:rsid w:val="00626F0F"/>
    <w:rsid w:val="006305AE"/>
    <w:rsid w:val="006314AA"/>
    <w:rsid w:val="00632EB9"/>
    <w:rsid w:val="00642893"/>
    <w:rsid w:val="00673A5E"/>
    <w:rsid w:val="006771DA"/>
    <w:rsid w:val="006B4EF6"/>
    <w:rsid w:val="006B5051"/>
    <w:rsid w:val="006B52FA"/>
    <w:rsid w:val="006B6565"/>
    <w:rsid w:val="006C6B8A"/>
    <w:rsid w:val="006D1676"/>
    <w:rsid w:val="006D1A65"/>
    <w:rsid w:val="006D46AE"/>
    <w:rsid w:val="006D641F"/>
    <w:rsid w:val="00700032"/>
    <w:rsid w:val="00704A94"/>
    <w:rsid w:val="007144CD"/>
    <w:rsid w:val="00714E75"/>
    <w:rsid w:val="007313E8"/>
    <w:rsid w:val="00757151"/>
    <w:rsid w:val="00760958"/>
    <w:rsid w:val="00764A2E"/>
    <w:rsid w:val="007667F1"/>
    <w:rsid w:val="00773998"/>
    <w:rsid w:val="00776009"/>
    <w:rsid w:val="007816A0"/>
    <w:rsid w:val="007917B1"/>
    <w:rsid w:val="0079307D"/>
    <w:rsid w:val="007A3408"/>
    <w:rsid w:val="007C53C5"/>
    <w:rsid w:val="007D568E"/>
    <w:rsid w:val="007F31B9"/>
    <w:rsid w:val="00802B59"/>
    <w:rsid w:val="0083636B"/>
    <w:rsid w:val="00836D68"/>
    <w:rsid w:val="00846855"/>
    <w:rsid w:val="008536B8"/>
    <w:rsid w:val="008563AB"/>
    <w:rsid w:val="00857C8B"/>
    <w:rsid w:val="008617DC"/>
    <w:rsid w:val="008719F7"/>
    <w:rsid w:val="008724C9"/>
    <w:rsid w:val="008806F0"/>
    <w:rsid w:val="00886BEC"/>
    <w:rsid w:val="00890813"/>
    <w:rsid w:val="008B7726"/>
    <w:rsid w:val="008C3D62"/>
    <w:rsid w:val="008C4AC1"/>
    <w:rsid w:val="008D288F"/>
    <w:rsid w:val="008E7165"/>
    <w:rsid w:val="008F19A4"/>
    <w:rsid w:val="008F27AF"/>
    <w:rsid w:val="00900AF0"/>
    <w:rsid w:val="0091462F"/>
    <w:rsid w:val="00914AA8"/>
    <w:rsid w:val="0092060B"/>
    <w:rsid w:val="00922A35"/>
    <w:rsid w:val="009308A6"/>
    <w:rsid w:val="00943B0A"/>
    <w:rsid w:val="0096078A"/>
    <w:rsid w:val="009669AE"/>
    <w:rsid w:val="0097038A"/>
    <w:rsid w:val="009A533E"/>
    <w:rsid w:val="009A5671"/>
    <w:rsid w:val="009A6452"/>
    <w:rsid w:val="009C4F82"/>
    <w:rsid w:val="009D6C64"/>
    <w:rsid w:val="009F22C9"/>
    <w:rsid w:val="009F24B9"/>
    <w:rsid w:val="009F5B46"/>
    <w:rsid w:val="009F5BC8"/>
    <w:rsid w:val="00A078CB"/>
    <w:rsid w:val="00A35BCE"/>
    <w:rsid w:val="00A35C20"/>
    <w:rsid w:val="00A46367"/>
    <w:rsid w:val="00A53B15"/>
    <w:rsid w:val="00A61FAF"/>
    <w:rsid w:val="00A73E29"/>
    <w:rsid w:val="00A76713"/>
    <w:rsid w:val="00A86E94"/>
    <w:rsid w:val="00AD7358"/>
    <w:rsid w:val="00AD7F7B"/>
    <w:rsid w:val="00AE1E0B"/>
    <w:rsid w:val="00AF1714"/>
    <w:rsid w:val="00AF73B7"/>
    <w:rsid w:val="00B05C60"/>
    <w:rsid w:val="00B11481"/>
    <w:rsid w:val="00B24AE1"/>
    <w:rsid w:val="00B44116"/>
    <w:rsid w:val="00B71C71"/>
    <w:rsid w:val="00B81AA3"/>
    <w:rsid w:val="00B87AD6"/>
    <w:rsid w:val="00B945EF"/>
    <w:rsid w:val="00B96867"/>
    <w:rsid w:val="00B969B8"/>
    <w:rsid w:val="00BA60E9"/>
    <w:rsid w:val="00BD3FF2"/>
    <w:rsid w:val="00BD465B"/>
    <w:rsid w:val="00BE7EBF"/>
    <w:rsid w:val="00C03799"/>
    <w:rsid w:val="00C11733"/>
    <w:rsid w:val="00C12E0D"/>
    <w:rsid w:val="00C3223F"/>
    <w:rsid w:val="00C3277B"/>
    <w:rsid w:val="00C42E5A"/>
    <w:rsid w:val="00C440E2"/>
    <w:rsid w:val="00C46175"/>
    <w:rsid w:val="00C50412"/>
    <w:rsid w:val="00C52272"/>
    <w:rsid w:val="00C55F06"/>
    <w:rsid w:val="00C807C0"/>
    <w:rsid w:val="00C851E1"/>
    <w:rsid w:val="00C858AD"/>
    <w:rsid w:val="00C85A8F"/>
    <w:rsid w:val="00CA1335"/>
    <w:rsid w:val="00CA7839"/>
    <w:rsid w:val="00CB6F81"/>
    <w:rsid w:val="00CC113E"/>
    <w:rsid w:val="00CC5009"/>
    <w:rsid w:val="00CD5ED3"/>
    <w:rsid w:val="00CD6553"/>
    <w:rsid w:val="00CF2B1A"/>
    <w:rsid w:val="00CF4865"/>
    <w:rsid w:val="00CF497D"/>
    <w:rsid w:val="00CF6512"/>
    <w:rsid w:val="00CF7806"/>
    <w:rsid w:val="00D01A6D"/>
    <w:rsid w:val="00D13827"/>
    <w:rsid w:val="00D21D99"/>
    <w:rsid w:val="00D233DF"/>
    <w:rsid w:val="00D31D50"/>
    <w:rsid w:val="00D32EC8"/>
    <w:rsid w:val="00D45FAA"/>
    <w:rsid w:val="00D4712D"/>
    <w:rsid w:val="00D65D54"/>
    <w:rsid w:val="00D6655E"/>
    <w:rsid w:val="00D67621"/>
    <w:rsid w:val="00D70DBD"/>
    <w:rsid w:val="00D71FA2"/>
    <w:rsid w:val="00DA0D0E"/>
    <w:rsid w:val="00DB2286"/>
    <w:rsid w:val="00DC2F17"/>
    <w:rsid w:val="00DC4049"/>
    <w:rsid w:val="00DC43CE"/>
    <w:rsid w:val="00DF4A43"/>
    <w:rsid w:val="00DF7E48"/>
    <w:rsid w:val="00E14820"/>
    <w:rsid w:val="00E173C3"/>
    <w:rsid w:val="00E2388E"/>
    <w:rsid w:val="00E34FA3"/>
    <w:rsid w:val="00E72552"/>
    <w:rsid w:val="00E751B6"/>
    <w:rsid w:val="00E75761"/>
    <w:rsid w:val="00E92F6D"/>
    <w:rsid w:val="00E9711C"/>
    <w:rsid w:val="00EB5342"/>
    <w:rsid w:val="00EC3B89"/>
    <w:rsid w:val="00EC6A3F"/>
    <w:rsid w:val="00EF6880"/>
    <w:rsid w:val="00F03A02"/>
    <w:rsid w:val="00F03E57"/>
    <w:rsid w:val="00F12093"/>
    <w:rsid w:val="00F157B4"/>
    <w:rsid w:val="00F30906"/>
    <w:rsid w:val="00F3245B"/>
    <w:rsid w:val="00F41066"/>
    <w:rsid w:val="00F469D4"/>
    <w:rsid w:val="00F572F8"/>
    <w:rsid w:val="00F646A3"/>
    <w:rsid w:val="00F90000"/>
    <w:rsid w:val="00FA0D4A"/>
    <w:rsid w:val="00FA3F9F"/>
    <w:rsid w:val="00FC472E"/>
    <w:rsid w:val="00FC523D"/>
    <w:rsid w:val="00FD26CE"/>
    <w:rsid w:val="00FE3D82"/>
    <w:rsid w:val="00FE6260"/>
    <w:rsid w:val="00FF39E1"/>
    <w:rsid w:val="00FF597A"/>
    <w:rsid w:val="00FF740D"/>
    <w:rsid w:val="38AE1689"/>
    <w:rsid w:val="4B3B5690"/>
    <w:rsid w:val="521B675A"/>
    <w:rsid w:val="66D0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uiPriority w:val="99"/>
    <w:rPr>
      <w:rFonts w:ascii="Tahoma" w:hAnsi="Tahoma"/>
      <w:sz w:val="18"/>
      <w:szCs w:val="18"/>
    </w:rPr>
  </w:style>
  <w:style w:type="character" w:customStyle="1" w:styleId="9">
    <w:name w:val="页脚 Char"/>
    <w:basedOn w:val="7"/>
    <w:link w:val="4"/>
    <w:semiHidden/>
    <w:uiPriority w:val="99"/>
    <w:rPr>
      <w:rFonts w:ascii="Tahoma" w:hAnsi="Tahoma"/>
      <w:sz w:val="18"/>
      <w:szCs w:val="18"/>
    </w:rPr>
  </w:style>
  <w:style w:type="paragraph" w:styleId="10">
    <w:name w:val="List Paragraph"/>
    <w:basedOn w:val="1"/>
    <w:qFormat/>
    <w:uiPriority w:val="34"/>
    <w:pPr>
      <w:ind w:firstLine="420" w:firstLineChars="200"/>
    </w:pPr>
  </w:style>
  <w:style w:type="character" w:customStyle="1" w:styleId="11">
    <w:name w:val="闻政标题4 Char"/>
    <w:link w:val="12"/>
    <w:qFormat/>
    <w:uiPriority w:val="0"/>
    <w:rPr>
      <w:rFonts w:ascii="Times New Roman" w:hAnsi="Times New Roman" w:eastAsia="仿宋_GB2312"/>
      <w:b/>
      <w:bCs/>
      <w:sz w:val="28"/>
      <w:szCs w:val="32"/>
      <w:lang w:val="zh-CN"/>
    </w:rPr>
  </w:style>
  <w:style w:type="paragraph" w:customStyle="1" w:styleId="12">
    <w:name w:val="闻政标题4"/>
    <w:basedOn w:val="2"/>
    <w:link w:val="11"/>
    <w:qFormat/>
    <w:uiPriority w:val="0"/>
    <w:pPr>
      <w:widowControl w:val="0"/>
      <w:adjustRightInd/>
      <w:snapToGrid/>
      <w:spacing w:before="120" w:after="60" w:line="500" w:lineRule="exact"/>
      <w:ind w:firstLine="200" w:firstLineChars="200"/>
    </w:pPr>
    <w:rPr>
      <w:rFonts w:ascii="Times New Roman" w:hAnsi="Times New Roman" w:eastAsia="仿宋_GB2312" w:cs="Times New Roman"/>
      <w:sz w:val="28"/>
      <w:lang w:val="zh-CN"/>
    </w:rPr>
  </w:style>
  <w:style w:type="character" w:customStyle="1" w:styleId="13">
    <w:name w:val="标题 2 Char"/>
    <w:basedOn w:val="7"/>
    <w:link w:val="2"/>
    <w:semiHidden/>
    <w:uiPriority w:val="9"/>
    <w:rPr>
      <w:rFonts w:asciiTheme="majorHAnsi" w:hAnsiTheme="majorHAnsi" w:eastAsiaTheme="majorEastAsia" w:cstheme="majorBidi"/>
      <w:b/>
      <w:bCs/>
      <w:sz w:val="32"/>
      <w:szCs w:val="32"/>
    </w:rPr>
  </w:style>
  <w:style w:type="character" w:customStyle="1" w:styleId="14">
    <w:name w:val="闻政表 Char"/>
    <w:link w:val="15"/>
    <w:qFormat/>
    <w:uiPriority w:val="0"/>
    <w:rPr>
      <w:rFonts w:ascii="Times New Roman" w:hAnsi="Times New Roman" w:eastAsia="仿宋_GB2312"/>
      <w:b/>
      <w:sz w:val="24"/>
      <w:szCs w:val="28"/>
    </w:rPr>
  </w:style>
  <w:style w:type="paragraph" w:customStyle="1" w:styleId="15">
    <w:name w:val="闻政表"/>
    <w:basedOn w:val="1"/>
    <w:link w:val="14"/>
    <w:qFormat/>
    <w:uiPriority w:val="0"/>
    <w:pPr>
      <w:widowControl w:val="0"/>
      <w:adjustRightInd/>
      <w:snapToGrid/>
      <w:spacing w:before="60" w:after="60"/>
      <w:jc w:val="center"/>
    </w:pPr>
    <w:rPr>
      <w:rFonts w:ascii="Times New Roman" w:hAnsi="Times New Roman" w:eastAsia="仿宋_GB2312"/>
      <w:b/>
      <w:sz w:val="24"/>
      <w:szCs w:val="28"/>
    </w:rPr>
  </w:style>
  <w:style w:type="character" w:customStyle="1" w:styleId="16">
    <w:name w:val="闻政标题3 Char"/>
    <w:link w:val="17"/>
    <w:qFormat/>
    <w:uiPriority w:val="0"/>
    <w:rPr>
      <w:rFonts w:ascii="黑体" w:hAnsi="黑体" w:eastAsia="黑体"/>
      <w:bCs/>
      <w:sz w:val="32"/>
      <w:szCs w:val="32"/>
    </w:rPr>
  </w:style>
  <w:style w:type="paragraph" w:customStyle="1" w:styleId="17">
    <w:name w:val="闻政标题3"/>
    <w:basedOn w:val="3"/>
    <w:link w:val="16"/>
    <w:qFormat/>
    <w:uiPriority w:val="0"/>
    <w:pPr>
      <w:widowControl w:val="0"/>
      <w:adjustRightInd/>
      <w:snapToGrid/>
      <w:spacing w:before="120" w:after="60" w:line="500" w:lineRule="exact"/>
      <w:outlineLvl w:val="0"/>
    </w:pPr>
    <w:rPr>
      <w:rFonts w:ascii="黑体" w:hAnsi="黑体" w:eastAsia="黑体"/>
      <w:b w:val="0"/>
    </w:rPr>
  </w:style>
  <w:style w:type="character" w:customStyle="1" w:styleId="18">
    <w:name w:val="闻政正文 Char"/>
    <w:link w:val="19"/>
    <w:qFormat/>
    <w:uiPriority w:val="0"/>
    <w:rPr>
      <w:rFonts w:ascii="Times New Roman" w:hAnsi="Times New Roman" w:eastAsia="仿宋_GB2312"/>
      <w:sz w:val="28"/>
      <w:szCs w:val="28"/>
    </w:rPr>
  </w:style>
  <w:style w:type="paragraph" w:customStyle="1" w:styleId="19">
    <w:name w:val="闻政正文"/>
    <w:basedOn w:val="1"/>
    <w:link w:val="18"/>
    <w:qFormat/>
    <w:uiPriority w:val="0"/>
    <w:pPr>
      <w:widowControl w:val="0"/>
      <w:adjustRightInd/>
      <w:snapToGrid/>
      <w:spacing w:after="0" w:line="500" w:lineRule="exact"/>
      <w:ind w:firstLine="560" w:firstLineChars="200"/>
      <w:jc w:val="both"/>
    </w:pPr>
    <w:rPr>
      <w:rFonts w:ascii="Times New Roman" w:hAnsi="Times New Roman" w:eastAsia="仿宋_GB2312"/>
      <w:sz w:val="28"/>
      <w:szCs w:val="28"/>
    </w:rPr>
  </w:style>
  <w:style w:type="character" w:customStyle="1" w:styleId="20">
    <w:name w:val="标题 3 Char"/>
    <w:basedOn w:val="7"/>
    <w:link w:val="3"/>
    <w:semiHidden/>
    <w:uiPriority w:val="9"/>
    <w:rPr>
      <w:rFonts w:ascii="Tahoma" w:hAnsi="Tahom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9D5B21-476E-4D3D-BFA6-406D7B9CE14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8019</Words>
  <Characters>8772</Characters>
  <Lines>70</Lines>
  <Paragraphs>19</Paragraphs>
  <TotalTime>0</TotalTime>
  <ScaleCrop>false</ScaleCrop>
  <LinksUpToDate>false</LinksUpToDate>
  <CharactersWithSpaces>8850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Administrator</cp:lastModifiedBy>
  <dcterms:modified xsi:type="dcterms:W3CDTF">2023-05-12T07:37:54Z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2367801315454D2DA384484B4164F772_12</vt:lpwstr>
  </property>
</Properties>
</file>