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rPr>
          <w:rFonts w:hint="eastAsia"/>
          <w:b/>
          <w:sz w:val="32"/>
          <w:szCs w:val="32"/>
        </w:rPr>
      </w:pPr>
      <w:r>
        <w:rPr>
          <w:rFonts w:hint="eastAsia"/>
          <w:b/>
          <w:sz w:val="32"/>
          <w:szCs w:val="32"/>
        </w:rPr>
        <w:t>803平顺县住房和城乡建设管理局</w:t>
      </w:r>
    </w:p>
    <w:p>
      <w:pPr>
        <w:spacing w:line="220" w:lineRule="atLeast"/>
        <w:jc w:val="center"/>
      </w:pPr>
      <w:r>
        <w:rPr>
          <w:rFonts w:hint="eastAsia"/>
          <w:b/>
          <w:sz w:val="32"/>
          <w:szCs w:val="32"/>
        </w:rPr>
        <w:t>2021年度部门决算公开</w:t>
      </w:r>
    </w:p>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rPr>
          <w:rFonts w:ascii="仿宋_GB2312" w:hAnsi="楷体" w:eastAsia="仿宋_GB2312"/>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r>
        <w:rPr>
          <w:rFonts w:hint="eastAsia"/>
          <w:b/>
          <w:sz w:val="28"/>
          <w:szCs w:val="28"/>
        </w:rPr>
        <w:t>第一部分概况</w:t>
      </w:r>
    </w:p>
    <w:p>
      <w:pPr>
        <w:spacing w:line="520" w:lineRule="exact"/>
        <w:ind w:firstLine="560" w:firstLineChars="200"/>
        <w:rPr>
          <w:sz w:val="28"/>
          <w:szCs w:val="28"/>
        </w:rPr>
      </w:pPr>
      <w:r>
        <w:rPr>
          <w:rFonts w:hint="eastAsia"/>
          <w:sz w:val="28"/>
          <w:szCs w:val="28"/>
        </w:rPr>
        <w:t>一、本部门职责</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我单位组建于1981年，单位性质为行政单位。根据《中共平顺县委办公室、平顺县人民政府关于印发＜平顺县住房和城乡建设管理局职能配置内设机构和人员编制规定＞的通知》（室字【2019】23号设立平顺县住房和城乡建设管理局，正科级建制，为县政府工作部门。单位负责人为桑宏亮。</w:t>
      </w:r>
    </w:p>
    <w:p>
      <w:pPr>
        <w:spacing w:after="0" w:line="500" w:lineRule="exact"/>
        <w:ind w:firstLine="560" w:firstLineChars="200"/>
        <w:rPr>
          <w:sz w:val="28"/>
          <w:szCs w:val="28"/>
        </w:rPr>
      </w:pPr>
      <w:r>
        <w:rPr>
          <w:rFonts w:hint="eastAsia" w:ascii="仿宋" w:hAnsi="仿宋" w:eastAsia="仿宋"/>
          <w:sz w:val="28"/>
          <w:szCs w:val="28"/>
        </w:rPr>
        <w:t>主要职能：平顺县住房和城乡建设管理局负责全县总体规划、建设和管理工作。包括建设施工企业的管理、监察工程建设、招投标的监督和管理、房屋产权管理、市政建设管理维护、人民防空设施的监督管理、工程质量安全监督管理、竣工验收备案、建筑工程材料的环保与节能、工程预结算管理审查、保障房管理、全县农村危房改造工作以及相关法律法规的贯彻落实等。2020年职能划转，增加城市照明、环卫、园林、绿化，垃圾处理、城管执法等原城乡建设服务中心职能。</w:t>
      </w:r>
    </w:p>
    <w:p>
      <w:pPr>
        <w:spacing w:line="220" w:lineRule="atLeast"/>
        <w:rPr>
          <w:sz w:val="28"/>
          <w:szCs w:val="28"/>
        </w:rPr>
      </w:pPr>
      <w:r>
        <w:rPr>
          <w:rFonts w:hint="eastAsia"/>
          <w:sz w:val="28"/>
          <w:szCs w:val="28"/>
        </w:rPr>
        <w:t>二、机构设置情况</w:t>
      </w:r>
    </w:p>
    <w:p>
      <w:pPr>
        <w:spacing w:after="0" w:line="500" w:lineRule="exact"/>
        <w:ind w:firstLine="560" w:firstLineChars="200"/>
        <w:rPr>
          <w:rFonts w:ascii="仿宋_GB2312" w:hAnsi="楷体" w:eastAsia="仿宋_GB2312"/>
          <w:sz w:val="28"/>
          <w:szCs w:val="28"/>
        </w:rPr>
      </w:pPr>
      <w:r>
        <w:rPr>
          <w:rFonts w:ascii="仿宋" w:hAnsi="仿宋" w:eastAsia="仿宋" w:cs="仿宋_GB2312"/>
          <w:sz w:val="28"/>
          <w:szCs w:val="28"/>
        </w:rPr>
        <w:t>1. 根据部门职责分工，本部门内设机构包括</w:t>
      </w:r>
      <w:r>
        <w:rPr>
          <w:rFonts w:hint="eastAsia" w:ascii="仿宋" w:hAnsi="仿宋" w:eastAsia="仿宋" w:cs="仿宋_GB2312"/>
          <w:sz w:val="28"/>
          <w:szCs w:val="28"/>
        </w:rPr>
        <w:t>综合办公室、财务股、质量安全站、建管</w:t>
      </w:r>
      <w:bookmarkStart w:id="0" w:name="_GoBack"/>
      <w:bookmarkEnd w:id="0"/>
      <w:r>
        <w:rPr>
          <w:rFonts w:hint="eastAsia" w:ascii="仿宋" w:hAnsi="仿宋" w:eastAsia="仿宋" w:cs="仿宋_GB2312"/>
          <w:sz w:val="28"/>
          <w:szCs w:val="28"/>
        </w:rPr>
        <w:t>股、城建股、人防股、法规宣教股、村镇管理站、重点项目办、园林管理股、招标建经股、房管保障办、综合执法队、环卫大队、房屋征收办公室等15个股室</w:t>
      </w:r>
      <w:r>
        <w:rPr>
          <w:rFonts w:ascii="仿宋" w:hAnsi="仿宋" w:eastAsia="仿宋" w:cs="仿宋_GB2312"/>
          <w:sz w:val="28"/>
          <w:szCs w:val="28"/>
        </w:rPr>
        <w:t>。本部门下属单位包括：</w:t>
      </w:r>
      <w:r>
        <w:rPr>
          <w:rFonts w:hint="eastAsia" w:ascii="仿宋" w:hAnsi="仿宋" w:eastAsia="仿宋"/>
          <w:sz w:val="28"/>
          <w:szCs w:val="28"/>
        </w:rPr>
        <w:t>平顺县住建局现在一个全额事业单位即市政公用事业服务中心（平顺县园林中心），一个自收自支事业单位，即平顺县住房保障和村镇建设事务中心（平顺县市容环境卫生服务中心）。原工程建设服务中心、村镇建筑管理站、房产交易中心、环卫管理大队四个自收自支。2021机构改革，我单位现在独立核算机构1个，独立编制机构3个。</w:t>
      </w:r>
    </w:p>
    <w:p>
      <w:pPr>
        <w:spacing w:after="0" w:line="500" w:lineRule="exact"/>
        <w:ind w:firstLine="560" w:firstLineChars="200"/>
        <w:rPr>
          <w:rFonts w:ascii="仿宋" w:hAnsi="仿宋" w:eastAsia="仿宋"/>
          <w:sz w:val="28"/>
          <w:szCs w:val="28"/>
        </w:rPr>
      </w:pPr>
      <w:r>
        <w:rPr>
          <w:rFonts w:hint="eastAsia" w:ascii="仿宋" w:hAnsi="仿宋" w:eastAsia="仿宋" w:cs="仿宋_GB2312"/>
          <w:sz w:val="28"/>
          <w:szCs w:val="28"/>
        </w:rPr>
        <w:t>2.</w:t>
      </w:r>
      <w:r>
        <w:rPr>
          <w:rFonts w:ascii="仿宋" w:hAnsi="仿宋" w:eastAsia="仿宋" w:cs="仿宋_GB2312"/>
          <w:sz w:val="28"/>
          <w:szCs w:val="28"/>
        </w:rPr>
        <w:t>从决算单位构成看，纳入</w:t>
      </w:r>
      <w:r>
        <w:rPr>
          <w:rFonts w:hint="eastAsia" w:ascii="仿宋" w:hAnsi="仿宋" w:eastAsia="仿宋" w:cs="仿宋_GB2312"/>
          <w:sz w:val="28"/>
          <w:szCs w:val="28"/>
        </w:rPr>
        <w:t>平顺县住房和城乡建设管理局2021年部门汇总决算编制范围的预算单位共计1家，具体包括：平顺县住房和城乡建设管理局</w:t>
      </w:r>
      <w:r>
        <w:rPr>
          <w:rFonts w:ascii="仿宋" w:hAnsi="仿宋" w:eastAsia="仿宋" w:cs="仿宋_GB2312"/>
          <w:sz w:val="28"/>
          <w:szCs w:val="28"/>
        </w:rPr>
        <w:t>部门本级。</w:t>
      </w:r>
    </w:p>
    <w:p>
      <w:pPr>
        <w:spacing w:after="0" w:line="500" w:lineRule="exact"/>
        <w:rPr>
          <w:rFonts w:ascii="仿宋_GB2312" w:hAnsi="楷体" w:eastAsia="仿宋_GB2312"/>
          <w:sz w:val="28"/>
          <w:szCs w:val="28"/>
        </w:rPr>
      </w:pPr>
      <w:r>
        <w:rPr>
          <w:rFonts w:hint="eastAsia" w:ascii="仿宋_GB2312" w:hAnsi="楷体" w:eastAsia="仿宋_GB2312"/>
          <w:sz w:val="28"/>
          <w:szCs w:val="28"/>
        </w:rPr>
        <w:t>三、年度工作计划及执行情况</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cs="宋体"/>
          <w:bCs/>
          <w:sz w:val="28"/>
          <w:szCs w:val="28"/>
        </w:rPr>
        <w:t>一）</w:t>
      </w:r>
      <w:r>
        <w:rPr>
          <w:rFonts w:hint="eastAsia" w:ascii="仿宋" w:hAnsi="仿宋" w:eastAsia="仿宋" w:cs="仿宋"/>
          <w:sz w:val="28"/>
          <w:szCs w:val="28"/>
        </w:rPr>
        <w:t>重点项目</w:t>
      </w:r>
      <w:r>
        <w:rPr>
          <w:rFonts w:hint="eastAsia" w:ascii="仿宋" w:hAnsi="仿宋" w:eastAsia="仿宋" w:cs="宋体"/>
          <w:bCs/>
          <w:sz w:val="28"/>
          <w:szCs w:val="28"/>
        </w:rPr>
        <w:t>完成情况</w:t>
      </w:r>
    </w:p>
    <w:p>
      <w:pPr>
        <w:spacing w:after="0"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楷体"/>
          <w:sz w:val="28"/>
          <w:szCs w:val="28"/>
        </w:rPr>
        <w:t>平顺县县城北山南底一带雨水工程建设项目</w:t>
      </w:r>
      <w:r>
        <w:rPr>
          <w:rFonts w:hint="eastAsia" w:ascii="仿宋" w:hAnsi="仿宋" w:eastAsia="仿宋" w:cs="仿宋"/>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bCs/>
          <w:sz w:val="28"/>
          <w:szCs w:val="28"/>
        </w:rPr>
        <w:t>2、</w:t>
      </w:r>
      <w:r>
        <w:rPr>
          <w:rFonts w:hint="eastAsia" w:ascii="仿宋" w:hAnsi="仿宋" w:eastAsia="仿宋" w:cs="楷体"/>
          <w:sz w:val="28"/>
          <w:szCs w:val="28"/>
        </w:rPr>
        <w:t>平顺县2021年城镇排水管网雨污分流改造项目</w:t>
      </w:r>
      <w:r>
        <w:rPr>
          <w:rFonts w:hint="eastAsia" w:ascii="仿宋" w:hAnsi="仿宋" w:eastAsia="仿宋"/>
          <w:bCs/>
          <w:sz w:val="28"/>
          <w:szCs w:val="28"/>
        </w:rPr>
        <w:t>；</w:t>
      </w:r>
    </w:p>
    <w:p>
      <w:pPr>
        <w:spacing w:after="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楷体"/>
          <w:sz w:val="28"/>
          <w:szCs w:val="28"/>
        </w:rPr>
        <w:t>2021年传统村落集中连片保护利用项目</w:t>
      </w:r>
      <w:r>
        <w:rPr>
          <w:rFonts w:hint="eastAsia" w:ascii="仿宋" w:hAnsi="仿宋" w:eastAsia="仿宋" w:cs="仿宋"/>
          <w:bCs/>
          <w:sz w:val="28"/>
          <w:szCs w:val="28"/>
        </w:rPr>
        <w:t>；</w:t>
      </w:r>
    </w:p>
    <w:p>
      <w:pPr>
        <w:spacing w:after="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w:t>
      </w:r>
      <w:r>
        <w:rPr>
          <w:rFonts w:hint="eastAsia" w:ascii="仿宋" w:hAnsi="仿宋" w:eastAsia="仿宋" w:cs="楷体"/>
          <w:sz w:val="28"/>
          <w:szCs w:val="28"/>
        </w:rPr>
        <w:t>平顺县建制镇生活污水处理设施项目</w:t>
      </w:r>
      <w:r>
        <w:rPr>
          <w:rFonts w:hint="eastAsia" w:ascii="仿宋" w:hAnsi="仿宋" w:eastAsia="仿宋" w:cs="仿宋"/>
          <w:bCs/>
          <w:sz w:val="28"/>
          <w:szCs w:val="28"/>
        </w:rPr>
        <w:t>；</w:t>
      </w:r>
    </w:p>
    <w:p>
      <w:pPr>
        <w:spacing w:after="0"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5、</w:t>
      </w:r>
      <w:r>
        <w:rPr>
          <w:rFonts w:hint="eastAsia" w:ascii="仿宋" w:hAnsi="仿宋" w:eastAsia="仿宋" w:cs="仿宋"/>
          <w:bCs/>
          <w:sz w:val="28"/>
          <w:szCs w:val="28"/>
        </w:rPr>
        <w:t>市政设施维修工程；</w:t>
      </w:r>
    </w:p>
    <w:p>
      <w:pPr>
        <w:spacing w:after="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6、冬季清洁取暖建筑节能改造项目；</w:t>
      </w:r>
    </w:p>
    <w:p>
      <w:pPr>
        <w:spacing w:after="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7、人居环境整治项目；</w:t>
      </w:r>
    </w:p>
    <w:p>
      <w:pPr>
        <w:spacing w:after="0"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8、通天峡大酒店广场改造工程（周边地质灾害隐患治理项目）</w:t>
      </w:r>
    </w:p>
    <w:p>
      <w:pPr>
        <w:spacing w:after="0" w:line="500" w:lineRule="exact"/>
        <w:ind w:firstLine="560" w:firstLineChars="200"/>
        <w:rPr>
          <w:rFonts w:ascii="仿宋" w:hAnsi="仿宋" w:eastAsia="仿宋"/>
          <w:sz w:val="28"/>
          <w:szCs w:val="28"/>
        </w:rPr>
      </w:pPr>
      <w:r>
        <w:rPr>
          <w:rFonts w:hint="eastAsia" w:ascii="仿宋" w:hAnsi="仿宋" w:eastAsia="仿宋" w:cs="宋体"/>
          <w:bCs/>
          <w:sz w:val="28"/>
          <w:szCs w:val="28"/>
        </w:rPr>
        <w:t>（二）村镇建设</w:t>
      </w:r>
    </w:p>
    <w:p>
      <w:pPr>
        <w:keepNext/>
        <w:spacing w:after="0" w:line="500" w:lineRule="exact"/>
        <w:ind w:firstLine="560" w:firstLineChars="200"/>
        <w:contextualSpacing/>
        <w:rPr>
          <w:rFonts w:ascii="仿宋" w:hAnsi="仿宋" w:eastAsia="仿宋"/>
          <w:b/>
          <w:sz w:val="28"/>
          <w:szCs w:val="28"/>
        </w:rPr>
      </w:pPr>
      <w:r>
        <w:rPr>
          <w:rFonts w:hint="eastAsia" w:ascii="仿宋" w:hAnsi="仿宋" w:eastAsia="仿宋" w:cs="宋体"/>
          <w:sz w:val="28"/>
          <w:szCs w:val="28"/>
        </w:rPr>
        <w:t>2021年我县农村危房改造任务20户。</w:t>
      </w:r>
      <w:r>
        <w:rPr>
          <w:rFonts w:hint="eastAsia" w:ascii="仿宋" w:hAnsi="仿宋" w:eastAsia="仿宋"/>
          <w:sz w:val="28"/>
          <w:szCs w:val="28"/>
        </w:rPr>
        <w:t>截止目前，</w:t>
      </w:r>
      <w:r>
        <w:rPr>
          <w:rFonts w:hint="eastAsia" w:ascii="仿宋" w:hAnsi="仿宋" w:eastAsia="仿宋" w:cs="宋体"/>
          <w:sz w:val="28"/>
          <w:szCs w:val="28"/>
        </w:rPr>
        <w:t>实际完成89户，已全部竣工验收，并拨付危改补助资金1422001元。</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（三）保障房建设</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 xml:space="preserve">平顺县公租房（包括廉租房）：总管理套数558 套（不包括在建的德盛嘉苑27套公租房）。其中紫东家园一期333套，紫东家园二期72套，全部配租完毕。政府回购商品房小区配建153套（其中滨河湾72套，德胜苑48套，万通苑13套，顺安小区12套，金港100小区6套，和园小区2套），已全部配租入住。 </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根据平顺县人民政府办公室文件（平政办发【2020】34号）平顺县人民政府办公室关于公布2020年平顺县公共租赁住房（租赁补贴）申请条件和补贴标准的通知的精神，经个人申报，社区调查、公示、初审，青羊镇镇政府调查、公示、复审，县住建局抽查、公示、审核，并经过与县人社、财政局、公积金管理中心、市场局、不动产登记局进行数据对比，最终确定我县2021年公租房租赁补贴发放330户，1113人，836100元。</w:t>
      </w:r>
    </w:p>
    <w:p>
      <w:pPr>
        <w:keepNext/>
        <w:spacing w:after="0" w:line="500" w:lineRule="exact"/>
        <w:ind w:firstLine="560" w:firstLineChars="200"/>
        <w:contextualSpacing/>
        <w:rPr>
          <w:rFonts w:ascii="仿宋" w:hAnsi="仿宋" w:eastAsia="仿宋" w:cs="宋体"/>
          <w:sz w:val="28"/>
          <w:szCs w:val="28"/>
        </w:rPr>
      </w:pPr>
      <w:r>
        <w:rPr>
          <w:rFonts w:hint="eastAsia" w:ascii="仿宋" w:hAnsi="仿宋" w:eastAsia="仿宋"/>
          <w:sz w:val="28"/>
          <w:szCs w:val="28"/>
        </w:rPr>
        <w:t>（四）</w:t>
      </w:r>
      <w:r>
        <w:rPr>
          <w:rFonts w:hint="eastAsia" w:ascii="仿宋" w:hAnsi="仿宋" w:eastAsia="仿宋" w:cs="楷体"/>
          <w:bCs/>
          <w:sz w:val="28"/>
          <w:szCs w:val="28"/>
        </w:rPr>
        <w:t>因灾受损农房重建修缮工作</w:t>
      </w:r>
    </w:p>
    <w:p>
      <w:pPr>
        <w:spacing w:after="0" w:line="500" w:lineRule="exact"/>
        <w:ind w:firstLine="560" w:firstLineChars="200"/>
        <w:rPr>
          <w:rFonts w:ascii="仿宋" w:hAnsi="仿宋" w:eastAsia="仿宋" w:cs="仿宋"/>
          <w:sz w:val="28"/>
          <w:szCs w:val="28"/>
        </w:rPr>
      </w:pPr>
      <w:r>
        <w:rPr>
          <w:rFonts w:hint="eastAsia" w:ascii="仿宋" w:hAnsi="仿宋" w:eastAsia="仿宋" w:cs="仿宋"/>
          <w:sz w:val="28"/>
          <w:szCs w:val="28"/>
        </w:rPr>
        <w:t>2021年全县因灾受损房屋741户，开工741户，竣工667户，竣工率90%。面对严重灾情，我们第一时间向省市住建部门汇报，上报数据，向上积极争取因灾受损房屋重建修缮省级（含中央）资金1372.42万元，市级资金190万元，县级配套资金236.9万元。</w:t>
      </w:r>
    </w:p>
    <w:p>
      <w:pPr>
        <w:pStyle w:val="2"/>
        <w:spacing w:before="0" w:after="0" w:line="500" w:lineRule="exact"/>
        <w:ind w:firstLine="560" w:firstLineChars="200"/>
        <w:rPr>
          <w:rFonts w:ascii="仿宋" w:hAnsi="仿宋" w:eastAsia="仿宋" w:cs="楷体"/>
          <w:sz w:val="28"/>
          <w:szCs w:val="28"/>
        </w:rPr>
      </w:pPr>
      <w:r>
        <w:rPr>
          <w:rFonts w:hint="eastAsia" w:ascii="仿宋" w:hAnsi="仿宋" w:eastAsia="仿宋" w:cs="楷体"/>
          <w:b w:val="0"/>
          <w:sz w:val="28"/>
          <w:szCs w:val="28"/>
        </w:rPr>
        <w:t>（五）农村房屋安全隐患排查情况</w:t>
      </w:r>
    </w:p>
    <w:p>
      <w:pPr>
        <w:pStyle w:val="2"/>
        <w:spacing w:before="0" w:after="0" w:line="500" w:lineRule="exact"/>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农村房屋安全录入34746户，其中用作经营自建房879户，未用作经营自建房31934户，非自建房1933户。</w:t>
      </w:r>
      <w:r>
        <w:rPr>
          <w:rFonts w:hint="eastAsia" w:ascii="仿宋_GB2312" w:hAnsi="楷体" w:eastAsia="仿宋_GB2312"/>
          <w:sz w:val="28"/>
          <w:szCs w:val="28"/>
        </w:rPr>
        <w:t xml:space="preserve">  </w:t>
      </w:r>
    </w:p>
    <w:p>
      <w:pPr>
        <w:spacing w:after="0" w:line="500" w:lineRule="exact"/>
        <w:rPr>
          <w:b/>
          <w:sz w:val="28"/>
          <w:szCs w:val="28"/>
        </w:rPr>
      </w:pPr>
      <w:r>
        <w:rPr>
          <w:rFonts w:hint="eastAsia"/>
          <w:b/>
          <w:sz w:val="28"/>
          <w:szCs w:val="28"/>
        </w:rPr>
        <w:t>第二部分 2021年度部门决算报表（见附表1）</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一、收入支出决算总表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二、收入决算表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三、支出决算表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四、财政拨款收入支出决算总表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五、一般公共预算财政拨款支出决算表（一）</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六、一般公共预算财政拨款支出决算表（二）</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七、一般公共预算财政拨款“三公”经费支出决算表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八、政府性基金预算财政拨款收入支出决算表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九、国有资本经营预算财政拨款支出决算表</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十、部门决算公开相关信息统计表</w:t>
      </w:r>
    </w:p>
    <w:p>
      <w:pPr>
        <w:spacing w:after="0" w:line="500" w:lineRule="exact"/>
        <w:ind w:firstLine="420" w:firstLineChars="150"/>
        <w:rPr>
          <w:rFonts w:ascii="仿宋" w:hAnsi="仿宋" w:eastAsia="仿宋"/>
          <w:sz w:val="28"/>
          <w:szCs w:val="28"/>
        </w:rPr>
      </w:pPr>
      <w:r>
        <w:rPr>
          <w:rFonts w:hint="eastAsia" w:ascii="仿宋" w:hAnsi="仿宋" w:eastAsia="仿宋"/>
          <w:sz w:val="28"/>
          <w:szCs w:val="28"/>
        </w:rPr>
        <w:t>（注：平顺县住房和城乡建设管理局没有使用国有资本经营预算安排的支出，故本表无数据）</w:t>
      </w:r>
    </w:p>
    <w:p>
      <w:pPr>
        <w:spacing w:after="0" w:line="500" w:lineRule="exact"/>
        <w:rPr>
          <w:sz w:val="28"/>
          <w:szCs w:val="28"/>
        </w:rPr>
      </w:pPr>
      <w:r>
        <w:rPr>
          <w:rFonts w:hint="eastAsia"/>
          <w:b/>
          <w:sz w:val="28"/>
          <w:szCs w:val="28"/>
        </w:rPr>
        <w:t>第三部分 2021年度部门决算情况说明</w:t>
      </w:r>
    </w:p>
    <w:p>
      <w:pPr>
        <w:spacing w:after="0" w:line="500" w:lineRule="exact"/>
        <w:ind w:firstLine="560" w:firstLineChars="200"/>
        <w:rPr>
          <w:b/>
          <w:sz w:val="28"/>
          <w:szCs w:val="28"/>
        </w:rPr>
      </w:pPr>
      <w:r>
        <w:rPr>
          <w:rFonts w:hint="eastAsia"/>
          <w:b/>
          <w:sz w:val="28"/>
          <w:szCs w:val="28"/>
        </w:rPr>
        <w:t>一、收入支出决算总体情况说明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收入总计3507.756744万元、支出总计3509.203014万元。与上年相比，收入总计减少5217.10254万元，减少59.81%，支出总计减少5877.754329万元，减少62.62%。主要原因是2021年全县城建工程项目减少，收入减少，支出减少。</w:t>
      </w:r>
    </w:p>
    <w:p>
      <w:pPr>
        <w:spacing w:after="0" w:line="500" w:lineRule="exact"/>
        <w:ind w:firstLine="560" w:firstLineChars="200"/>
        <w:rPr>
          <w:b/>
          <w:sz w:val="28"/>
          <w:szCs w:val="28"/>
        </w:rPr>
      </w:pPr>
      <w:r>
        <w:rPr>
          <w:rFonts w:hint="eastAsia"/>
          <w:b/>
          <w:sz w:val="28"/>
          <w:szCs w:val="28"/>
        </w:rPr>
        <w:t>二、收入决算情况说明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收入合计3505.756744万元，其中：财政拨款收入3153.748744万元，占比89.96%；上级补助收入0万元，占比0%；事业收入0万元，占比0%；经营收入0万元，占比0%；附属单位上缴收入0万元，占比0%；其他收入352.008万元，占比10.04%。</w:t>
      </w:r>
    </w:p>
    <w:p>
      <w:pPr>
        <w:spacing w:after="0" w:line="500" w:lineRule="exact"/>
        <w:ind w:firstLine="560" w:firstLineChars="200"/>
        <w:rPr>
          <w:b/>
          <w:sz w:val="28"/>
          <w:szCs w:val="28"/>
        </w:rPr>
      </w:pPr>
      <w:r>
        <w:rPr>
          <w:rFonts w:hint="eastAsia"/>
          <w:b/>
          <w:sz w:val="28"/>
          <w:szCs w:val="28"/>
        </w:rPr>
        <w:t>三、支出决算情况说明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2021年度支出合计3509.203014万元，其中：基本支出1525.18786万元，占比43.46%；项目支出1984.015154万元，占比56.54%；上缴上级支出0万元，占比0%，经营支出0万元，占比0%，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财政拨款收入总计3153.748744万元、支出总计3153.748744万元。与上年相比，财政拨款收入总计减少4506.386242万元，减少142.88%，财政拨款支出总计减少5064.630905万元，减少160.59%。主要原因是2021年城建工程项目减少，收入减少，支出减少。</w:t>
      </w:r>
    </w:p>
    <w:p>
      <w:pPr>
        <w:spacing w:after="0" w:line="500" w:lineRule="exact"/>
        <w:ind w:firstLine="560" w:firstLineChars="200"/>
        <w:rPr>
          <w:b/>
          <w:sz w:val="28"/>
          <w:szCs w:val="28"/>
        </w:rPr>
      </w:pPr>
      <w:r>
        <w:rPr>
          <w:rFonts w:hint="eastAsia"/>
          <w:b/>
          <w:sz w:val="28"/>
          <w:szCs w:val="28"/>
        </w:rPr>
        <w:t>五、一般公共预算财政拨款支出决算情况说明</w:t>
      </w:r>
    </w:p>
    <w:p>
      <w:pPr>
        <w:spacing w:after="0" w:line="500" w:lineRule="exact"/>
        <w:ind w:firstLine="420" w:firstLineChars="150"/>
        <w:rPr>
          <w:b/>
          <w:sz w:val="28"/>
          <w:szCs w:val="28"/>
        </w:rPr>
      </w:pPr>
      <w:r>
        <w:rPr>
          <w:rFonts w:hint="eastAsia"/>
          <w:b/>
          <w:sz w:val="28"/>
          <w:szCs w:val="28"/>
        </w:rPr>
        <w:t>（一）财政拨款支出决算总体情况</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财政拨款支出3123.748744万元，占本年支出合计的88.99%。与上年相比，财政拨款支出减少2660.630905万元，减少85.17%。主要原因是2021年度城建工程减少，收入减少，支出减少。其中，人员经费1279.417672万元，占比40.96%， 日常公用经费245.770188万元，占比7.87%。</w:t>
      </w:r>
    </w:p>
    <w:p>
      <w:pPr>
        <w:spacing w:after="0" w:line="500" w:lineRule="exact"/>
        <w:ind w:firstLine="420" w:firstLineChars="150"/>
        <w:rPr>
          <w:b/>
          <w:sz w:val="28"/>
          <w:szCs w:val="28"/>
        </w:rPr>
      </w:pPr>
      <w:r>
        <w:rPr>
          <w:rFonts w:hint="eastAsia"/>
          <w:b/>
          <w:sz w:val="28"/>
          <w:szCs w:val="28"/>
        </w:rPr>
        <w:t>（二）财政拨款支出决算结构情况</w:t>
      </w:r>
    </w:p>
    <w:p>
      <w:pPr>
        <w:spacing w:after="0"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2021年度财政拨款支出3123.748744万元，主要用于以下方面：一般公共服务（类）支出2.75万元，占0.09%；外交（类）支出0万元，占0%；国防（类）支出0万元，占0%；公共安全（类）支出0万元，占0%；教育（类）支出0万元，占0%；科学技术（类）支出0万元，占0%；文化旅游体育与传媒（类）支出0万元，占0%；社会保障和就业（类）支出22.5689万元，</w:t>
      </w:r>
      <w:r>
        <w:rPr>
          <w:rFonts w:ascii="仿宋" w:hAnsi="仿宋" w:eastAsia="仿宋"/>
          <w:sz w:val="28"/>
          <w:szCs w:val="28"/>
        </w:rPr>
        <w:t xml:space="preserve"> </w:t>
      </w:r>
      <w:r>
        <w:rPr>
          <w:rFonts w:hint="eastAsia" w:ascii="仿宋" w:hAnsi="仿宋" w:eastAsia="仿宋"/>
          <w:sz w:val="28"/>
          <w:szCs w:val="28"/>
        </w:rPr>
        <w:t>占0.72%；卫生健康（类）支出9.8547万元，占0.32%；节能环保（类）支出0万元，占0%；城乡社区（类）支出2589.072836万元，占82.88%；农林水（类）支出0万元，占0%；交通运输（类）支出0万元，占0%；资源勘探工业信息等（类）支出0万元，占0%；商业服务业等（类）支出0万元，占0%；金融（类）支出0万元，占0%；援助其他地区（类）支出0万元，占0%；自然资源海洋气象等（类）支出0万元，占0%；住房保障（类）支出271.0512万元，占8.68%；粮油物资储备（类）支出0万元，占0%；国有资本经营预算（类）支出0万元，占0%；灾害防治及应急管理（类）支出0万元，占0%；其（类）支出0万元，占0%；债务还本（类）支出0万元，占0%；债务付息（类）支出0万元，占0%；抗疫特别国债安排（类）支出0万元，占0%</w:t>
      </w:r>
      <w:r>
        <w:rPr>
          <w:rFonts w:hint="eastAsia" w:ascii="仿宋" w:hAnsi="仿宋" w:eastAsia="仿宋"/>
          <w:sz w:val="28"/>
          <w:szCs w:val="28"/>
          <w:lang w:eastAsia="zh-CN"/>
        </w:rPr>
        <w:t>。</w:t>
      </w:r>
    </w:p>
    <w:p>
      <w:pPr>
        <w:spacing w:after="0" w:line="500" w:lineRule="exact"/>
        <w:ind w:firstLine="420" w:firstLineChars="150"/>
        <w:rPr>
          <w:b/>
          <w:sz w:val="28"/>
          <w:szCs w:val="28"/>
        </w:rPr>
      </w:pPr>
      <w:r>
        <w:rPr>
          <w:rFonts w:hint="eastAsia"/>
          <w:b/>
          <w:sz w:val="28"/>
          <w:szCs w:val="28"/>
        </w:rPr>
        <w:t>（三）财政拨款支出决算具体情况</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2021年度财政拨款支出年初预算1482.83万元，支出决算3123.748744万元，完成年初预算的210.66%。其中：</w:t>
      </w:r>
    </w:p>
    <w:p>
      <w:pPr>
        <w:spacing w:after="0"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一般公共服务支出年初预算2.75万元，支出决算2.75万元完成年初预算的100%，用于一般公共服务支出较上年决算减少0.3916万元，减少12.46%，主要原因为调出人员，人员减少，配套工会经费收入支出减少; 公共安全（类）支出年初预算0万元，支出决算0万元完成年初预算的0%，用于公共安全（类）支出较上年决算增加0万元，增长0%，主要原因年初无预算安排; 教育支出年初预算0万元，支出决算0万元完成年初预算的0%，用于教育支出较上年决算增加0万元，增长0%，主要原因为年初无预算安排.; 科学技术支出年初预算0万元，支出决算0万元完成年初预算的0%，用于科学技术支出较上年决算增加0万元，增长0%，主要原因为年初无预算安排; 文化旅游体育与传媒支出年初预算0万元，支出决算0万元完成年初预算的0%，用于文化旅游体育与传媒支出较上年决算增加 万元，增长 %，主要原因年初无预算安排资金;社会保障和就业支出年初预算22.38万元，支出决算22.5689万元完成年初预算的100.84%，用于社会保障和就业支出较上年决算减少1.072615万元，减少4.54%，主要原因人员调动减少，配套养老保险减少.; 卫生健康支出年初预算9.75万元，支出决算9.8457万元完成年初预算的100.98%，用于卫生健康支出较上年决算减少0.409086万元，减少3.99%，主要原因为人员调离，配套医疗保险减少; 节能环保支出年初预算0万元，支出决算228.46万元完成年初预算的228.46%，用于节能环保支出较上年决算减少164.83万元，减少41.91%，主要原因既有建筑节能改造资金上级拨付减少; 城乡社区支出年初预算1430.48万元，支出决算2589.072836万元完成年初预算的180.99%，用于城乡社区支出较上年决算减少2552.259712万元，减少50.35%，主要原因为2021年城乡社区工程减少，支出减少; 农林水支出年初预算0万元，支出决算0万元完成年初预算的0%，用于农林水支出较上年决算增加0万元，增长0%，主要原因年初无预算安排; 交通运输支出年初预算 0万元，支出决算0万元完成年初预算的0%，用于交通运输支出较上年决算增加 万元，增长 %，主要原因为年初无预算安排.; 资源勘探工业信息等支出年初预算 0万元，支出决算0万元完成年初预算的0%，用于资源勘探工业信息等支出较上年决算增加0万元，增长0%，主要原因为年初无预算安排; 商业服务业等支出年初预算 0万元，支出决算0万元完成年初预算的0%，用于商业服务业等较上年决算增加0万元，增长0%，主要原因年初无预算安排.; 金融支出年初预算0万元，支出决算0万元完成年初预算的0%，用于金融支出较上年决算增加0万元，增长0%，主要原因为年初无预算安排.; 援助其他地区支出年初预算0万元，支出决算0万元完成年初预算的0%，用于援助其他地区支出较上年决算增加0万元，增长0%，主要原因为年初无预算安排; 自然资源海洋气象等支出年初预算0万元，支出决算0万元完成年初预算的0%，用于自然资源海洋气象等较上年决算增加0万元，增长0%，主要原因年初无预算安排.; 住房保障支出年初预算17.47万元，支出决算271.051248万元完成年初预算的1551.52%，用于住房保障支出较上年决算增加58.332048万元，增长27.42%，主要原因上级下达中央保障性安居工程资金增加; 粮油物资储备支出年初预算0万元，支出决算0万元完成年初预算的0%，用于粮油物资储备支出较上年决算增加0万元，增长0%，主要原因无预算安排.; 国有资本经营预算支出年初预算0万元，支出决算0万元完成年初预算的0%，用于国有资本经营预算支出较上年决算增加0万元，增长0%，主要原因无预算安排;灾害防治及应急管理支出年初预算0万元，支出决算0万元完成年初预算的0%，用于灾害防治及应急管理支出较上年决算增加0万元，增长0%，主要原因年初无预算安排.; 其他支出年初预算0万元，支出决算0万元完成年初预算的0%，用于其他支出较上年决算增加</w:t>
      </w:r>
      <w:r>
        <w:rPr>
          <w:rFonts w:hint="eastAsia" w:ascii="仿宋" w:hAnsi="仿宋" w:eastAsia="仿宋"/>
          <w:sz w:val="28"/>
          <w:szCs w:val="28"/>
          <w:lang w:val="en-US" w:eastAsia="zh-CN"/>
        </w:rPr>
        <w:t>0</w:t>
      </w:r>
      <w:r>
        <w:rPr>
          <w:rFonts w:hint="eastAsia" w:ascii="仿宋" w:hAnsi="仿宋" w:eastAsia="仿宋"/>
          <w:sz w:val="28"/>
          <w:szCs w:val="28"/>
        </w:rPr>
        <w:t>万元，增长</w:t>
      </w:r>
      <w:r>
        <w:rPr>
          <w:rFonts w:hint="eastAsia" w:ascii="仿宋" w:hAnsi="仿宋" w:eastAsia="仿宋"/>
          <w:sz w:val="28"/>
          <w:szCs w:val="28"/>
          <w:lang w:val="en-US" w:eastAsia="zh-CN"/>
        </w:rPr>
        <w:t>0</w:t>
      </w:r>
      <w:r>
        <w:rPr>
          <w:rFonts w:hint="eastAsia" w:ascii="仿宋" w:hAnsi="仿宋" w:eastAsia="仿宋"/>
          <w:sz w:val="28"/>
          <w:szCs w:val="28"/>
        </w:rPr>
        <w:t>%，主要原因年初无预算安排; 债务还本支出年初预算0万元，支出决算0万元完成年初预算的0%，用于债务还本支出较上年决算增加0万元，增长0%，主要原因年初无预算安排; 债务付息支出年初预算0万元，支出决算0万元完成年初预算的0%，用于债务付息支出较上年决算增加0万元，增长0%，主要原因为年初无预算安排; 抗疫特别国债安排的支出年初预算0万元，支出决算0万元完成年初预算的0%，用于抗疫特别国债安排的支出较上年决算减少200万元，减少100%，主要原因为2021年预算没有安排</w:t>
      </w:r>
      <w:r>
        <w:rPr>
          <w:rFonts w:hint="eastAsia" w:ascii="仿宋" w:hAnsi="仿宋" w:eastAsia="仿宋"/>
          <w:sz w:val="28"/>
          <w:szCs w:val="28"/>
          <w:lang w:eastAsia="zh-CN"/>
        </w:rPr>
        <w:t>。</w:t>
      </w:r>
    </w:p>
    <w:p>
      <w:pPr>
        <w:spacing w:after="0" w:line="500" w:lineRule="exact"/>
        <w:ind w:firstLine="560" w:firstLineChars="200"/>
        <w:rPr>
          <w:b/>
          <w:sz w:val="28"/>
          <w:szCs w:val="28"/>
        </w:rPr>
      </w:pPr>
      <w:r>
        <w:rPr>
          <w:rFonts w:hint="eastAsia"/>
          <w:b/>
          <w:sz w:val="28"/>
          <w:szCs w:val="28"/>
        </w:rPr>
        <w:t>六、一般公共预算财政拨款基本支出决算情况说明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财政拨款基本支出1525.18786万元，其中：人员经费1279.417672万元，主要包括工资福利支出1278.147672万元和对个人和家庭的补助支出1.27万元；公用经费245.770188万元，主要包括商品和服务支出243.200188万元和办公设备购置2.57万元。</w:t>
      </w:r>
    </w:p>
    <w:p>
      <w:pPr>
        <w:spacing w:after="0" w:line="500" w:lineRule="exact"/>
        <w:ind w:firstLine="560" w:firstLineChars="200"/>
        <w:rPr>
          <w:b/>
          <w:sz w:val="28"/>
          <w:szCs w:val="28"/>
        </w:rPr>
      </w:pPr>
      <w:r>
        <w:rPr>
          <w:rFonts w:hint="eastAsia"/>
          <w:b/>
          <w:sz w:val="28"/>
          <w:szCs w:val="28"/>
        </w:rPr>
        <w:t>七、一般公共预算财政拨款“三公”经费支出决算情况说明</w:t>
      </w:r>
    </w:p>
    <w:p>
      <w:pPr>
        <w:spacing w:after="0" w:line="500" w:lineRule="exact"/>
        <w:ind w:firstLine="560" w:firstLineChars="200"/>
        <w:rPr>
          <w:b/>
          <w:sz w:val="28"/>
          <w:szCs w:val="28"/>
        </w:rPr>
      </w:pPr>
      <w:r>
        <w:rPr>
          <w:rFonts w:hint="eastAsia"/>
          <w:b/>
          <w:sz w:val="28"/>
          <w:szCs w:val="28"/>
        </w:rPr>
        <w:t>（一）“三公”经费财政拨款支出决算总体情况说明。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2021年度“三公”经费财政拨款支出预算6万元，支出决算5.8513万元，完成预算的97.52%，比上年减少0.8619万元，减少12.84%，主要原因是：压缩开支，节约经费。</w:t>
      </w:r>
    </w:p>
    <w:p>
      <w:pPr>
        <w:spacing w:after="0" w:line="500" w:lineRule="exact"/>
        <w:ind w:firstLine="560" w:firstLineChars="200"/>
        <w:rPr>
          <w:b/>
          <w:sz w:val="28"/>
          <w:szCs w:val="28"/>
        </w:rPr>
      </w:pPr>
      <w:r>
        <w:rPr>
          <w:rFonts w:hint="eastAsia"/>
          <w:b/>
          <w:sz w:val="28"/>
          <w:szCs w:val="28"/>
        </w:rPr>
        <w:t>（二）“三公”经费财政拨款支出决算具体情况说明。</w:t>
      </w:r>
    </w:p>
    <w:p>
      <w:pPr>
        <w:spacing w:after="0" w:line="500" w:lineRule="exact"/>
        <w:ind w:firstLine="422" w:firstLineChars="150"/>
        <w:rPr>
          <w:rFonts w:ascii="仿宋_GB2312" w:hAnsi="仿宋" w:eastAsia="仿宋_GB2312"/>
          <w:b/>
          <w:sz w:val="28"/>
          <w:szCs w:val="28"/>
        </w:rPr>
      </w:pPr>
      <w:r>
        <w:rPr>
          <w:rFonts w:hint="eastAsia" w:ascii="仿宋_GB2312" w:hAnsi="仿宋" w:eastAsia="仿宋_GB2312"/>
          <w:b/>
          <w:sz w:val="28"/>
          <w:szCs w:val="28"/>
        </w:rPr>
        <w:t>（1）与预算数比较</w:t>
      </w:r>
    </w:p>
    <w:tbl>
      <w:tblPr>
        <w:tblStyle w:val="5"/>
        <w:tblpPr w:leftFromText="180" w:rightFromText="180" w:vertAnchor="text" w:horzAnchor="margin" w:tblpY="294"/>
        <w:tblW w:w="0" w:type="auto"/>
        <w:tblInd w:w="0"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预算数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决算数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0"/>
                <w:szCs w:val="20"/>
              </w:rPr>
            </w:pPr>
            <w:r>
              <w:rPr>
                <w:rFonts w:hint="eastAsia" w:ascii="宋体" w:hAnsi="宋体" w:cs="宋体"/>
                <w:b/>
                <w:bCs/>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ind w:firstLine="440" w:firstLineChars="200"/>
              <w:rPr>
                <w:rFonts w:ascii="宋体" w:hAnsi="宋体" w:cs="宋体"/>
              </w:rPr>
            </w:pPr>
            <w:r>
              <w:rPr>
                <w:rFonts w:hint="eastAsia" w:ascii="宋体" w:hAnsi="宋体" w:cs="宋体"/>
              </w:rPr>
              <w:t>6</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5.8513</w:t>
            </w:r>
          </w:p>
        </w:tc>
        <w:tc>
          <w:tcPr>
            <w:tcW w:w="1843" w:type="dxa"/>
            <w:tcBorders>
              <w:top w:val="single" w:color="auto" w:sz="4" w:space="0"/>
              <w:left w:val="single" w:color="auto" w:sz="4" w:space="0"/>
              <w:bottom w:val="single" w:color="auto" w:sz="4" w:space="0"/>
              <w:right w:val="single" w:color="auto" w:sz="4" w:space="0"/>
            </w:tcBorders>
          </w:tcPr>
          <w:p>
            <w:pPr>
              <w:ind w:firstLine="440" w:firstLineChars="200"/>
              <w:rPr>
                <w:rFonts w:ascii="宋体" w:hAnsi="宋体" w:cs="宋体"/>
              </w:rPr>
            </w:pPr>
            <w:r>
              <w:rPr>
                <w:rFonts w:hint="eastAsia" w:ascii="宋体" w:hAnsi="宋体" w:cs="宋体"/>
              </w:rPr>
              <w:t>97.52</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ind w:firstLine="440" w:firstLineChars="200"/>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ind w:firstLine="440" w:firstLineChars="200"/>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tcPr>
          <w:p>
            <w:pPr>
              <w:ind w:firstLine="660" w:firstLineChars="300"/>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ind w:firstLine="220" w:firstLineChars="100"/>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 xml:space="preserve">  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0"/>
                <w:szCs w:val="20"/>
              </w:rPr>
            </w:pPr>
            <w:r>
              <w:rPr>
                <w:rFonts w:hint="eastAsia" w:ascii="宋体" w:hAnsi="宋体" w:cs="宋体"/>
              </w:rPr>
              <w:t xml:space="preserve">      </w:t>
            </w:r>
            <w:r>
              <w:rPr>
                <w:rFonts w:hint="eastAsia" w:ascii="宋体" w:hAnsi="宋体" w:cs="宋体"/>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4</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3.8513</w:t>
            </w:r>
          </w:p>
        </w:tc>
        <w:tc>
          <w:tcPr>
            <w:tcW w:w="1843" w:type="dxa"/>
            <w:tcBorders>
              <w:top w:val="single" w:color="auto" w:sz="4" w:space="0"/>
              <w:left w:val="single" w:color="auto" w:sz="4" w:space="0"/>
              <w:bottom w:val="single" w:color="auto" w:sz="4" w:space="0"/>
              <w:right w:val="single" w:color="auto" w:sz="4" w:space="0"/>
            </w:tcBorders>
          </w:tcPr>
          <w:p>
            <w:pPr>
              <w:ind w:firstLine="110" w:firstLineChars="50"/>
              <w:rPr>
                <w:rFonts w:ascii="宋体" w:hAnsi="宋体" w:cs="宋体"/>
              </w:rPr>
            </w:pPr>
            <w:r>
              <w:rPr>
                <w:rFonts w:hint="eastAsia" w:ascii="宋体" w:hAnsi="宋体" w:cs="宋体"/>
              </w:rPr>
              <w:t>96.28</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2</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2</w:t>
            </w:r>
          </w:p>
        </w:tc>
        <w:tc>
          <w:tcPr>
            <w:tcW w:w="1843" w:type="dxa"/>
            <w:tcBorders>
              <w:top w:val="single" w:color="auto" w:sz="4" w:space="0"/>
              <w:left w:val="single" w:color="auto" w:sz="4" w:space="0"/>
              <w:bottom w:val="single" w:color="auto" w:sz="4" w:space="0"/>
              <w:right w:val="single" w:color="auto" w:sz="4" w:space="0"/>
            </w:tcBorders>
          </w:tcPr>
          <w:p>
            <w:pPr>
              <w:ind w:firstLine="110" w:firstLineChars="50"/>
              <w:rPr>
                <w:rFonts w:ascii="宋体" w:hAnsi="宋体" w:cs="宋体"/>
              </w:rPr>
            </w:pPr>
            <w:r>
              <w:rPr>
                <w:rFonts w:hint="eastAsia" w:ascii="宋体" w:hAnsi="宋体" w:cs="宋体"/>
              </w:rPr>
              <w:t>100</w:t>
            </w:r>
          </w:p>
        </w:tc>
      </w:tr>
    </w:tbl>
    <w:p>
      <w:pPr>
        <w:ind w:firstLine="562" w:firstLineChars="200"/>
        <w:rPr>
          <w:rFonts w:ascii="仿宋_GB2312" w:hAnsi="仿宋" w:eastAsia="仿宋_GB2312"/>
          <w:b/>
          <w:sz w:val="28"/>
          <w:szCs w:val="28"/>
        </w:rPr>
      </w:pPr>
      <w:r>
        <w:rPr>
          <w:rFonts w:hint="eastAsia" w:ascii="仿宋_GB2312" w:hAnsi="仿宋" w:eastAsia="仿宋_GB2312"/>
          <w:b/>
          <w:sz w:val="28"/>
          <w:szCs w:val="28"/>
        </w:rPr>
        <w:t>（2）上下年度比较</w:t>
      </w:r>
    </w:p>
    <w:tbl>
      <w:tblPr>
        <w:tblStyle w:val="5"/>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5.8513</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6.7132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-0.8619</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-12.84</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3.8513</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4.5337</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-0.6824</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-15.05</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2</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2.1795</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-0.1795</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-8.24</w:t>
            </w:r>
          </w:p>
        </w:tc>
      </w:tr>
    </w:tbl>
    <w:p>
      <w:pPr>
        <w:ind w:firstLine="422" w:firstLineChars="150"/>
        <w:rPr>
          <w:rFonts w:ascii="仿宋_GB2312" w:hAnsi="仿宋" w:eastAsia="仿宋_GB2312"/>
          <w:b/>
          <w:sz w:val="28"/>
          <w:szCs w:val="28"/>
        </w:rPr>
      </w:pPr>
      <w:r>
        <w:rPr>
          <w:rFonts w:hint="eastAsia" w:ascii="仿宋_GB2312" w:hAnsi="仿宋" w:eastAsia="仿宋_GB2312"/>
          <w:b/>
          <w:sz w:val="28"/>
          <w:szCs w:val="28"/>
        </w:rPr>
        <w:t>（3）具体情况说明</w:t>
      </w:r>
    </w:p>
    <w:p>
      <w:pPr>
        <w:spacing w:after="0" w:line="500" w:lineRule="exact"/>
        <w:ind w:firstLine="560" w:firstLineChars="200"/>
        <w:rPr>
          <w:rFonts w:ascii="仿宋" w:hAnsi="仿宋" w:eastAsia="仿宋" w:cs="宋体"/>
          <w:sz w:val="28"/>
          <w:szCs w:val="28"/>
        </w:rPr>
      </w:pPr>
      <w:r>
        <w:rPr>
          <w:rFonts w:hint="eastAsia" w:ascii="仿宋" w:hAnsi="仿宋" w:eastAsia="仿宋"/>
          <w:sz w:val="28"/>
          <w:szCs w:val="28"/>
        </w:rPr>
        <w:t>2021年一般公共预算安排的“三公”经费年初预算</w:t>
      </w:r>
      <w:r>
        <w:rPr>
          <w:rFonts w:hint="eastAsia" w:ascii="仿宋" w:hAnsi="仿宋" w:eastAsia="仿宋" w:cs="宋体"/>
          <w:sz w:val="28"/>
          <w:szCs w:val="28"/>
        </w:rPr>
        <w:t>6</w:t>
      </w:r>
      <w:r>
        <w:rPr>
          <w:rFonts w:hint="eastAsia" w:ascii="仿宋" w:hAnsi="仿宋" w:eastAsia="仿宋"/>
          <w:sz w:val="28"/>
          <w:szCs w:val="28"/>
        </w:rPr>
        <w:t>万元，支出决算</w:t>
      </w:r>
      <w:r>
        <w:rPr>
          <w:rFonts w:hint="eastAsia" w:ascii="仿宋" w:hAnsi="仿宋" w:eastAsia="仿宋" w:cs="宋体"/>
          <w:sz w:val="28"/>
          <w:szCs w:val="28"/>
        </w:rPr>
        <w:t>　5.8513</w:t>
      </w:r>
      <w:r>
        <w:rPr>
          <w:rFonts w:hint="eastAsia" w:ascii="仿宋" w:hAnsi="仿宋" w:eastAsia="仿宋"/>
          <w:sz w:val="28"/>
          <w:szCs w:val="28"/>
        </w:rPr>
        <w:t>万元，完成年初预算的</w:t>
      </w:r>
      <w:r>
        <w:rPr>
          <w:rFonts w:hint="eastAsia" w:ascii="仿宋" w:hAnsi="仿宋" w:eastAsia="仿宋" w:cs="宋体"/>
          <w:sz w:val="28"/>
          <w:szCs w:val="28"/>
        </w:rPr>
        <w:t>97.52</w:t>
      </w:r>
      <w:r>
        <w:rPr>
          <w:rFonts w:hint="eastAsia" w:ascii="仿宋" w:hAnsi="仿宋" w:eastAsia="仿宋"/>
          <w:sz w:val="28"/>
          <w:szCs w:val="28"/>
        </w:rPr>
        <w:t>%，比上年减少</w:t>
      </w:r>
      <w:r>
        <w:rPr>
          <w:rFonts w:hint="eastAsia" w:ascii="仿宋" w:hAnsi="仿宋" w:eastAsia="仿宋" w:cs="宋体"/>
          <w:sz w:val="28"/>
          <w:szCs w:val="28"/>
        </w:rPr>
        <w:t>0.8619</w:t>
      </w:r>
      <w:r>
        <w:rPr>
          <w:rFonts w:hint="eastAsia" w:ascii="仿宋" w:hAnsi="仿宋" w:eastAsia="仿宋"/>
          <w:sz w:val="28"/>
          <w:szCs w:val="28"/>
        </w:rPr>
        <w:t>万元，减少</w:t>
      </w:r>
      <w:r>
        <w:rPr>
          <w:rFonts w:hint="eastAsia" w:ascii="仿宋" w:hAnsi="仿宋" w:eastAsia="仿宋" w:cs="宋体"/>
          <w:sz w:val="28"/>
          <w:szCs w:val="28"/>
        </w:rPr>
        <w:t>12.84</w:t>
      </w:r>
      <w:r>
        <w:rPr>
          <w:rFonts w:hint="eastAsia" w:ascii="仿宋" w:hAnsi="仿宋" w:eastAsia="仿宋"/>
          <w:sz w:val="28"/>
          <w:szCs w:val="28"/>
        </w:rPr>
        <w:t>%。其中：因公出国（境）费用年初预算0万元，支出决算0万元，完成年初预算的0%，比上年增加0万元，增长0%，原因是我单位2021年度未发生因公出国（境）费用（</w:t>
      </w:r>
      <w:r>
        <w:rPr>
          <w:rFonts w:ascii="仿宋" w:hAnsi="仿宋" w:eastAsia="仿宋"/>
          <w:sz w:val="28"/>
          <w:szCs w:val="28"/>
        </w:rPr>
        <w:t>全年使用一般公共预算拨款支出安排的出国（境）团组</w:t>
      </w:r>
      <w:r>
        <w:rPr>
          <w:rFonts w:hint="eastAsia" w:ascii="仿宋" w:hAnsi="仿宋" w:eastAsia="仿宋"/>
          <w:sz w:val="28"/>
          <w:szCs w:val="28"/>
        </w:rPr>
        <w:t>0</w:t>
      </w:r>
      <w:r>
        <w:rPr>
          <w:rFonts w:ascii="仿宋" w:hAnsi="仿宋" w:eastAsia="仿宋"/>
          <w:sz w:val="28"/>
          <w:szCs w:val="28"/>
        </w:rPr>
        <w:t>个，累计</w:t>
      </w:r>
      <w:r>
        <w:rPr>
          <w:rFonts w:hint="eastAsia" w:ascii="仿宋" w:hAnsi="仿宋" w:eastAsia="仿宋"/>
          <w:sz w:val="28"/>
          <w:szCs w:val="28"/>
        </w:rPr>
        <w:t>0</w:t>
      </w:r>
      <w:r>
        <w:rPr>
          <w:rFonts w:ascii="仿宋" w:hAnsi="仿宋" w:eastAsia="仿宋"/>
          <w:sz w:val="28"/>
          <w:szCs w:val="28"/>
        </w:rPr>
        <w:t>人次</w:t>
      </w:r>
      <w:r>
        <w:rPr>
          <w:rFonts w:hint="eastAsia" w:ascii="仿宋" w:hAnsi="仿宋" w:eastAsia="仿宋"/>
          <w:sz w:val="28"/>
          <w:szCs w:val="28"/>
        </w:rPr>
        <w:t>）；其中公务用车购置及运行维护费用年初预算</w:t>
      </w:r>
      <w:r>
        <w:rPr>
          <w:rFonts w:hint="eastAsia" w:ascii="仿宋" w:hAnsi="仿宋" w:eastAsia="仿宋" w:cs="宋体"/>
          <w:sz w:val="28"/>
          <w:szCs w:val="28"/>
        </w:rPr>
        <w:t>　4</w:t>
      </w:r>
      <w:r>
        <w:rPr>
          <w:rFonts w:hint="eastAsia" w:ascii="仿宋" w:hAnsi="仿宋" w:eastAsia="仿宋"/>
          <w:sz w:val="28"/>
          <w:szCs w:val="28"/>
        </w:rPr>
        <w:t>万元，支出决算</w:t>
      </w:r>
      <w:r>
        <w:rPr>
          <w:rFonts w:hint="eastAsia" w:ascii="仿宋" w:hAnsi="仿宋" w:eastAsia="仿宋" w:cs="宋体"/>
          <w:sz w:val="28"/>
          <w:szCs w:val="28"/>
        </w:rPr>
        <w:t>　3.8513</w:t>
      </w:r>
      <w:r>
        <w:rPr>
          <w:rFonts w:hint="eastAsia" w:ascii="仿宋" w:hAnsi="仿宋" w:eastAsia="仿宋"/>
          <w:sz w:val="28"/>
          <w:szCs w:val="28"/>
        </w:rPr>
        <w:t>万元，完成年初预算的</w:t>
      </w:r>
      <w:r>
        <w:rPr>
          <w:rFonts w:hint="eastAsia" w:ascii="仿宋" w:hAnsi="仿宋" w:eastAsia="仿宋" w:cs="宋体"/>
          <w:sz w:val="28"/>
          <w:szCs w:val="28"/>
        </w:rPr>
        <w:t>96.28</w:t>
      </w:r>
      <w:r>
        <w:rPr>
          <w:rFonts w:hint="eastAsia" w:ascii="仿宋" w:hAnsi="仿宋" w:eastAsia="仿宋"/>
          <w:sz w:val="28"/>
          <w:szCs w:val="28"/>
        </w:rPr>
        <w:t>%，比上年减少</w:t>
      </w:r>
      <w:r>
        <w:rPr>
          <w:rFonts w:hint="eastAsia" w:ascii="仿宋" w:hAnsi="仿宋" w:eastAsia="仿宋" w:cs="宋体"/>
          <w:sz w:val="28"/>
          <w:szCs w:val="28"/>
        </w:rPr>
        <w:t>0.6824</w:t>
      </w:r>
      <w:r>
        <w:rPr>
          <w:rFonts w:hint="eastAsia" w:ascii="仿宋" w:hAnsi="仿宋" w:eastAsia="仿宋"/>
          <w:sz w:val="28"/>
          <w:szCs w:val="28"/>
        </w:rPr>
        <w:t>万元，减少</w:t>
      </w:r>
      <w:r>
        <w:rPr>
          <w:rFonts w:hint="eastAsia" w:ascii="仿宋" w:hAnsi="仿宋" w:eastAsia="仿宋" w:cs="宋体"/>
          <w:sz w:val="28"/>
          <w:szCs w:val="28"/>
        </w:rPr>
        <w:t>15.06</w:t>
      </w:r>
      <w:r>
        <w:rPr>
          <w:rFonts w:hint="eastAsia" w:ascii="仿宋" w:hAnsi="仿宋" w:eastAsia="仿宋"/>
          <w:sz w:val="28"/>
          <w:szCs w:val="28"/>
        </w:rPr>
        <w:t>%（具体：其中公务用车购置费年初预算</w:t>
      </w:r>
      <w:r>
        <w:rPr>
          <w:rFonts w:hint="eastAsia" w:ascii="仿宋" w:hAnsi="仿宋" w:eastAsia="仿宋" w:cs="宋体"/>
          <w:sz w:val="28"/>
          <w:szCs w:val="28"/>
        </w:rPr>
        <w:t>　0</w:t>
      </w:r>
      <w:r>
        <w:rPr>
          <w:rFonts w:hint="eastAsia" w:ascii="仿宋" w:hAnsi="仿宋" w:eastAsia="仿宋"/>
          <w:sz w:val="28"/>
          <w:szCs w:val="28"/>
        </w:rPr>
        <w:t>万元，支出决算</w:t>
      </w:r>
      <w:r>
        <w:rPr>
          <w:rFonts w:hint="eastAsia" w:ascii="仿宋" w:hAnsi="仿宋" w:eastAsia="仿宋" w:cs="宋体"/>
          <w:sz w:val="28"/>
          <w:szCs w:val="28"/>
        </w:rPr>
        <w:t>　0</w:t>
      </w:r>
      <w:r>
        <w:rPr>
          <w:rFonts w:hint="eastAsia" w:ascii="仿宋" w:hAnsi="仿宋" w:eastAsia="仿宋"/>
          <w:sz w:val="28"/>
          <w:szCs w:val="28"/>
        </w:rPr>
        <w:t>万元，完成年初预算的</w:t>
      </w:r>
      <w:r>
        <w:rPr>
          <w:rFonts w:hint="eastAsia" w:ascii="仿宋" w:hAnsi="仿宋" w:eastAsia="仿宋" w:cs="宋体"/>
          <w:sz w:val="28"/>
          <w:szCs w:val="28"/>
        </w:rPr>
        <w:t>0</w:t>
      </w:r>
      <w:r>
        <w:rPr>
          <w:rFonts w:hint="eastAsia" w:ascii="仿宋" w:hAnsi="仿宋" w:eastAsia="仿宋"/>
          <w:sz w:val="28"/>
          <w:szCs w:val="28"/>
        </w:rPr>
        <w:t>%，比上年增加</w:t>
      </w:r>
      <w:r>
        <w:rPr>
          <w:rFonts w:hint="eastAsia" w:ascii="仿宋" w:hAnsi="仿宋" w:eastAsia="仿宋" w:cs="宋体"/>
          <w:sz w:val="28"/>
          <w:szCs w:val="28"/>
        </w:rPr>
        <w:t>0</w:t>
      </w:r>
      <w:r>
        <w:rPr>
          <w:rFonts w:hint="eastAsia" w:ascii="仿宋" w:hAnsi="仿宋" w:eastAsia="仿宋"/>
          <w:sz w:val="28"/>
          <w:szCs w:val="28"/>
        </w:rPr>
        <w:t>万元，增长</w:t>
      </w:r>
      <w:r>
        <w:rPr>
          <w:rFonts w:hint="eastAsia" w:ascii="仿宋" w:hAnsi="仿宋" w:eastAsia="仿宋" w:cs="宋体"/>
          <w:sz w:val="28"/>
          <w:szCs w:val="28"/>
        </w:rPr>
        <w:t>0</w:t>
      </w:r>
      <w:r>
        <w:rPr>
          <w:rFonts w:hint="eastAsia" w:ascii="仿宋" w:hAnsi="仿宋" w:eastAsia="仿宋"/>
          <w:sz w:val="28"/>
          <w:szCs w:val="28"/>
        </w:rPr>
        <w:t>%，原因是我单位2021年未发生公务用车购置费用；公务用车运行维护费年初预算</w:t>
      </w:r>
      <w:r>
        <w:rPr>
          <w:rFonts w:hint="eastAsia" w:ascii="仿宋" w:hAnsi="仿宋" w:eastAsia="仿宋" w:cs="宋体"/>
          <w:sz w:val="28"/>
          <w:szCs w:val="28"/>
        </w:rPr>
        <w:t>　4</w:t>
      </w:r>
      <w:r>
        <w:rPr>
          <w:rFonts w:hint="eastAsia" w:ascii="仿宋" w:hAnsi="仿宋" w:eastAsia="仿宋"/>
          <w:sz w:val="28"/>
          <w:szCs w:val="28"/>
        </w:rPr>
        <w:t>万元，支出决算</w:t>
      </w:r>
      <w:r>
        <w:rPr>
          <w:rFonts w:hint="eastAsia" w:ascii="仿宋" w:hAnsi="仿宋" w:eastAsia="仿宋" w:cs="宋体"/>
          <w:sz w:val="28"/>
          <w:szCs w:val="28"/>
        </w:rPr>
        <w:t>　3.8513</w:t>
      </w:r>
      <w:r>
        <w:rPr>
          <w:rFonts w:hint="eastAsia" w:ascii="仿宋" w:hAnsi="仿宋" w:eastAsia="仿宋"/>
          <w:sz w:val="28"/>
          <w:szCs w:val="28"/>
        </w:rPr>
        <w:t>万元，完成年初预算的</w:t>
      </w:r>
      <w:r>
        <w:rPr>
          <w:rFonts w:hint="eastAsia" w:ascii="仿宋" w:hAnsi="仿宋" w:eastAsia="仿宋" w:cs="宋体"/>
          <w:sz w:val="28"/>
          <w:szCs w:val="28"/>
        </w:rPr>
        <w:t>96.28</w:t>
      </w:r>
      <w:r>
        <w:rPr>
          <w:rFonts w:hint="eastAsia" w:ascii="仿宋" w:hAnsi="仿宋" w:eastAsia="仿宋"/>
          <w:sz w:val="28"/>
          <w:szCs w:val="28"/>
        </w:rPr>
        <w:t>%，比上年减少0.6824万元，减少</w:t>
      </w:r>
      <w:r>
        <w:rPr>
          <w:rFonts w:hint="eastAsia" w:ascii="仿宋" w:hAnsi="仿宋" w:eastAsia="仿宋" w:cs="宋体"/>
          <w:sz w:val="28"/>
          <w:szCs w:val="28"/>
        </w:rPr>
        <w:t>15.06</w:t>
      </w:r>
      <w:r>
        <w:rPr>
          <w:rFonts w:hint="eastAsia" w:ascii="仿宋" w:hAnsi="仿宋" w:eastAsia="仿宋"/>
          <w:sz w:val="28"/>
          <w:szCs w:val="28"/>
        </w:rPr>
        <w:t>%，原因是压缩开支，节约经费。）；公务接待费年初预算</w:t>
      </w:r>
      <w:r>
        <w:rPr>
          <w:rFonts w:hint="eastAsia" w:ascii="仿宋" w:hAnsi="仿宋" w:eastAsia="仿宋" w:cs="宋体"/>
          <w:sz w:val="28"/>
          <w:szCs w:val="28"/>
        </w:rPr>
        <w:t>　2</w:t>
      </w:r>
      <w:r>
        <w:rPr>
          <w:rFonts w:hint="eastAsia" w:ascii="仿宋" w:hAnsi="仿宋" w:eastAsia="仿宋"/>
          <w:sz w:val="28"/>
          <w:szCs w:val="28"/>
        </w:rPr>
        <w:t>万元，支出决算</w:t>
      </w:r>
      <w:r>
        <w:rPr>
          <w:rFonts w:hint="eastAsia" w:ascii="仿宋" w:hAnsi="仿宋" w:eastAsia="仿宋" w:cs="宋体"/>
          <w:sz w:val="28"/>
          <w:szCs w:val="28"/>
        </w:rPr>
        <w:t>　2</w:t>
      </w:r>
      <w:r>
        <w:rPr>
          <w:rFonts w:hint="eastAsia" w:ascii="仿宋" w:hAnsi="仿宋" w:eastAsia="仿宋"/>
          <w:sz w:val="28"/>
          <w:szCs w:val="28"/>
        </w:rPr>
        <w:t>万元，完成年初预算的</w:t>
      </w:r>
      <w:r>
        <w:rPr>
          <w:rFonts w:hint="eastAsia" w:ascii="仿宋" w:hAnsi="仿宋" w:eastAsia="仿宋" w:cs="宋体"/>
          <w:sz w:val="28"/>
          <w:szCs w:val="28"/>
        </w:rPr>
        <w:t>100</w:t>
      </w:r>
      <w:r>
        <w:rPr>
          <w:rFonts w:hint="eastAsia" w:ascii="仿宋" w:hAnsi="仿宋" w:eastAsia="仿宋"/>
          <w:sz w:val="28"/>
          <w:szCs w:val="28"/>
        </w:rPr>
        <w:t>%，比上年增加</w:t>
      </w:r>
      <w:r>
        <w:rPr>
          <w:rFonts w:hint="eastAsia" w:ascii="仿宋" w:hAnsi="仿宋" w:eastAsia="仿宋" w:cs="宋体"/>
          <w:sz w:val="28"/>
          <w:szCs w:val="28"/>
        </w:rPr>
        <w:t>0</w:t>
      </w:r>
      <w:r>
        <w:rPr>
          <w:rFonts w:hint="eastAsia" w:ascii="仿宋" w:hAnsi="仿宋" w:eastAsia="仿宋"/>
          <w:sz w:val="28"/>
          <w:szCs w:val="28"/>
        </w:rPr>
        <w:t>万元，增长</w:t>
      </w:r>
      <w:r>
        <w:rPr>
          <w:rFonts w:hint="eastAsia" w:ascii="仿宋" w:hAnsi="仿宋" w:eastAsia="仿宋" w:cs="宋体"/>
          <w:sz w:val="28"/>
          <w:szCs w:val="28"/>
        </w:rPr>
        <w:t>0</w:t>
      </w:r>
      <w:r>
        <w:rPr>
          <w:rFonts w:hint="eastAsia" w:ascii="仿宋" w:hAnsi="仿宋" w:eastAsia="仿宋"/>
          <w:sz w:val="28"/>
          <w:szCs w:val="28"/>
        </w:rPr>
        <w:t>%，原因是我单位控制接待人数，支出与去年持平。（全年</w:t>
      </w:r>
      <w:r>
        <w:rPr>
          <w:rFonts w:ascii="仿宋" w:hAnsi="仿宋" w:eastAsia="仿宋"/>
          <w:sz w:val="28"/>
          <w:szCs w:val="28"/>
        </w:rPr>
        <w:t>年使用一般公共预算拨款开支的国内公务接待</w:t>
      </w:r>
      <w:r>
        <w:rPr>
          <w:rFonts w:hint="eastAsia" w:ascii="仿宋" w:hAnsi="仿宋" w:eastAsia="仿宋"/>
          <w:sz w:val="28"/>
          <w:szCs w:val="28"/>
        </w:rPr>
        <w:t>60</w:t>
      </w:r>
      <w:r>
        <w:rPr>
          <w:rFonts w:ascii="仿宋" w:hAnsi="仿宋" w:eastAsia="仿宋"/>
          <w:sz w:val="28"/>
          <w:szCs w:val="28"/>
        </w:rPr>
        <w:t>批次，</w:t>
      </w:r>
      <w:r>
        <w:rPr>
          <w:rFonts w:hint="eastAsia" w:ascii="仿宋" w:hAnsi="仿宋" w:eastAsia="仿宋"/>
          <w:sz w:val="28"/>
          <w:szCs w:val="28"/>
        </w:rPr>
        <w:t>300</w:t>
      </w:r>
      <w:r>
        <w:rPr>
          <w:rFonts w:ascii="仿宋" w:hAnsi="仿宋" w:eastAsia="仿宋"/>
          <w:sz w:val="28"/>
          <w:szCs w:val="28"/>
        </w:rPr>
        <w:t>人次</w:t>
      </w:r>
      <w:r>
        <w:rPr>
          <w:rFonts w:hint="eastAsia" w:ascii="仿宋" w:hAnsi="仿宋" w:eastAsia="仿宋"/>
          <w:sz w:val="28"/>
          <w:szCs w:val="28"/>
        </w:rPr>
        <w:t>。）</w:t>
      </w:r>
    </w:p>
    <w:p>
      <w:pPr>
        <w:spacing w:after="0" w:line="500" w:lineRule="exact"/>
        <w:ind w:firstLine="560" w:firstLineChars="200"/>
        <w:rPr>
          <w:b/>
          <w:sz w:val="28"/>
          <w:szCs w:val="28"/>
        </w:rPr>
      </w:pPr>
      <w:r>
        <w:rPr>
          <w:rFonts w:hint="eastAsia"/>
          <w:b/>
          <w:sz w:val="28"/>
          <w:szCs w:val="28"/>
        </w:rPr>
        <w:t>八、其他重要事项情况说明</w:t>
      </w:r>
    </w:p>
    <w:p>
      <w:pPr>
        <w:spacing w:after="0" w:line="500" w:lineRule="exact"/>
        <w:ind w:firstLine="560" w:firstLineChars="200"/>
        <w:rPr>
          <w:b/>
          <w:sz w:val="28"/>
          <w:szCs w:val="28"/>
        </w:rPr>
      </w:pPr>
      <w:r>
        <w:rPr>
          <w:rFonts w:hint="eastAsia"/>
          <w:b/>
          <w:sz w:val="28"/>
          <w:szCs w:val="28"/>
        </w:rPr>
        <w:t>（一）机关运行经费支出情况说明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2021年机关运行经费支出245.770188万元，比上年减少11.771206万元，减少4.57%。主要原因是：我单位2021年严格控制经费开支。</w:t>
      </w:r>
    </w:p>
    <w:p>
      <w:pPr>
        <w:spacing w:after="0" w:line="500" w:lineRule="exact"/>
        <w:ind w:firstLine="560" w:firstLineChars="200"/>
        <w:rPr>
          <w:b/>
          <w:sz w:val="28"/>
          <w:szCs w:val="28"/>
        </w:rPr>
      </w:pPr>
      <w:r>
        <w:rPr>
          <w:rFonts w:hint="eastAsia"/>
          <w:b/>
          <w:sz w:val="28"/>
          <w:szCs w:val="28"/>
        </w:rPr>
        <w:t>（二）政府采购情况说明</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2021年度政府采购支出总额245.8878万元，其中：政府采购货物支出10.5406万元、政府采购工程支出200万元、政府采购服务支出35.3472万元。政府采购授予中小企业合同金额0万元，占政府采购支出总额的0%。其中：授予小微企业合同金额0万元，占政府采购支出总额的0%。</w:t>
      </w:r>
    </w:p>
    <w:p>
      <w:pPr>
        <w:spacing w:after="0" w:line="500" w:lineRule="exact"/>
        <w:ind w:firstLine="560" w:firstLineChars="200"/>
        <w:rPr>
          <w:b/>
          <w:sz w:val="28"/>
          <w:szCs w:val="28"/>
        </w:rPr>
      </w:pPr>
      <w:r>
        <w:rPr>
          <w:rFonts w:hint="eastAsia"/>
          <w:b/>
          <w:sz w:val="28"/>
          <w:szCs w:val="28"/>
        </w:rPr>
        <w:t>（三）国有资产占用情况说明</w:t>
      </w:r>
    </w:p>
    <w:p>
      <w:pPr>
        <w:spacing w:after="0" w:line="500" w:lineRule="exact"/>
        <w:ind w:firstLine="560" w:firstLineChars="200"/>
        <w:rPr>
          <w:sz w:val="28"/>
          <w:szCs w:val="28"/>
        </w:rPr>
      </w:pPr>
      <w:r>
        <w:rPr>
          <w:rFonts w:hint="eastAsia"/>
          <w:sz w:val="28"/>
          <w:szCs w:val="28"/>
        </w:rPr>
        <w:t>（1）房屋情况</w:t>
      </w:r>
    </w:p>
    <w:p>
      <w:pPr>
        <w:spacing w:after="0" w:line="500" w:lineRule="exact"/>
        <w:ind w:firstLine="636"/>
        <w:rPr>
          <w:rFonts w:ascii="仿宋" w:hAnsi="仿宋" w:eastAsia="仿宋"/>
          <w:sz w:val="28"/>
          <w:szCs w:val="28"/>
        </w:rPr>
      </w:pPr>
      <w:r>
        <w:rPr>
          <w:rFonts w:hint="eastAsia" w:ascii="仿宋" w:hAnsi="仿宋" w:eastAsia="仿宋"/>
          <w:sz w:val="28"/>
          <w:szCs w:val="28"/>
        </w:rPr>
        <w:t>截至2021年12月31日，本部门共有房屋2100平方米，价值为63.4037万元，其中办公用房2029平方米，价值为51万元；业务用房0平方米，价值为0万元；其他（不含构筑物）71平方米，价值为12.4037万元。</w:t>
      </w:r>
    </w:p>
    <w:p>
      <w:pPr>
        <w:spacing w:after="0" w:line="500" w:lineRule="exact"/>
        <w:ind w:firstLine="560" w:firstLineChars="200"/>
        <w:rPr>
          <w:sz w:val="28"/>
          <w:szCs w:val="28"/>
        </w:rPr>
      </w:pPr>
      <w:r>
        <w:rPr>
          <w:rFonts w:hint="eastAsia"/>
          <w:sz w:val="28"/>
          <w:szCs w:val="28"/>
        </w:rPr>
        <w:t>（2）车辆及设备情况</w:t>
      </w:r>
    </w:p>
    <w:p>
      <w:pPr>
        <w:spacing w:after="0" w:line="500" w:lineRule="exact"/>
        <w:ind w:firstLine="636"/>
        <w:rPr>
          <w:rFonts w:ascii="仿宋" w:hAnsi="仿宋" w:eastAsia="仿宋"/>
          <w:sz w:val="28"/>
          <w:szCs w:val="28"/>
        </w:rPr>
      </w:pPr>
      <w:r>
        <w:rPr>
          <w:rFonts w:hint="eastAsia" w:ascii="仿宋" w:hAnsi="仿宋" w:eastAsia="仿宋"/>
          <w:sz w:val="28"/>
          <w:szCs w:val="28"/>
        </w:rPr>
        <w:t>截至2021年12月31日，本部门共有车辆3辆。其中，副部（省）级及以上领导用车0辆、主要领导干部用车0辆、机要通信用车0辆、应急保障用车0辆、执法执勤用车0辆、特种专业技术用车0辆、离退休干部用车0辆、其他用车3辆，其他用车主要是1辆轿车，（人防专用载车），价值272621元；高空作业车1两，价值140000元；洒水车1辆，价值65000元。</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单价50万元（含）以上的通用设备1台（套），单价100万元（含）以上专用设备0台（套）。</w:t>
      </w:r>
    </w:p>
    <w:p>
      <w:pPr>
        <w:spacing w:after="0" w:line="500" w:lineRule="exact"/>
        <w:ind w:firstLine="560" w:firstLineChars="200"/>
        <w:rPr>
          <w:b/>
          <w:sz w:val="28"/>
          <w:szCs w:val="28"/>
        </w:rPr>
      </w:pPr>
      <w:r>
        <w:rPr>
          <w:rFonts w:hint="eastAsia"/>
          <w:b/>
          <w:sz w:val="28"/>
          <w:szCs w:val="28"/>
        </w:rPr>
        <w:t>（四）预算绩效情况说明</w:t>
      </w:r>
    </w:p>
    <w:p>
      <w:pPr>
        <w:spacing w:after="0" w:line="500" w:lineRule="exact"/>
        <w:ind w:firstLine="560" w:firstLineChars="200"/>
        <w:rPr>
          <w:b/>
          <w:sz w:val="28"/>
          <w:szCs w:val="28"/>
        </w:rPr>
      </w:pPr>
      <w:r>
        <w:rPr>
          <w:rFonts w:hint="eastAsia"/>
          <w:b/>
          <w:sz w:val="28"/>
          <w:szCs w:val="28"/>
        </w:rPr>
        <w:t>（1）预算绩效管理工作开展情况。</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根据预算绩效管理要求，我单位组织对2021年度县级财政预算安排的专项资金类18个项目支出全面开展绩效自评，涉及预算资金509.767381万元，占一般公共预算项目支出总额的31.89%。组织对2021年度2018年康乐街、青羊街铺装沥青混凝土路面工程欠款1个政府性基金预算项目支出开展绩效自评，共涉及预算资金30万元，占政府性基金预算项目支出总额的100%。</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我单位本年度没有进行部门评价项目绩效评价。</w:t>
      </w:r>
    </w:p>
    <w:p>
      <w:pPr>
        <w:spacing w:after="0" w:line="500" w:lineRule="exact"/>
        <w:ind w:firstLine="600" w:firstLineChars="200"/>
        <w:rPr>
          <w:sz w:val="28"/>
          <w:szCs w:val="28"/>
        </w:rPr>
      </w:pPr>
      <w:r>
        <w:rPr>
          <w:rFonts w:hint="eastAsia" w:ascii="仿宋" w:hAnsi="仿宋" w:eastAsia="仿宋"/>
          <w:sz w:val="30"/>
          <w:szCs w:val="30"/>
        </w:rPr>
        <w:t>我单位本年度没有开展整体绩效评价</w:t>
      </w:r>
      <w:r>
        <w:rPr>
          <w:rFonts w:hint="eastAsia"/>
          <w:sz w:val="28"/>
          <w:szCs w:val="28"/>
        </w:rPr>
        <w:t>。</w:t>
      </w:r>
    </w:p>
    <w:p>
      <w:pPr>
        <w:spacing w:after="0" w:line="500" w:lineRule="exact"/>
        <w:ind w:firstLine="560" w:firstLineChars="200"/>
        <w:rPr>
          <w:b/>
          <w:sz w:val="28"/>
          <w:szCs w:val="28"/>
        </w:rPr>
      </w:pPr>
      <w:r>
        <w:rPr>
          <w:rFonts w:hint="eastAsia"/>
          <w:b/>
          <w:sz w:val="28"/>
          <w:szCs w:val="28"/>
        </w:rPr>
        <w:t>（2）部门决算中项目绩效自评结果。</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我单位2021年度部门决算中选择3个项目向社会公开，现说明如下：</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1、紫东路工程建设资金项目绩效自评综述：根据年初设定的绩效目标，项目自评得分为86.66分。全年预算数为601.06万元，执行数为100万元，完成预算的16.63%。项目绩效目标完成情况：紫东路道路工程</w:t>
      </w:r>
      <w:r>
        <w:rPr>
          <w:rFonts w:hint="eastAsia" w:ascii="仿宋" w:hAnsi="仿宋" w:eastAsia="仿宋" w:cs="宋体"/>
          <w:sz w:val="28"/>
          <w:szCs w:val="28"/>
        </w:rPr>
        <w:t>作为县城东部的一条重要环城道路，既解决了该区域居民出行困难问题，同时促进了道路经过地段土地的升级和开发利用，而且对县域东南部经县城到潞城、河南、河北等方向的车流得到分流，一是缓解了县城交通压力，扩展了县城容量，二是改善了人居环境，周边群众安全得到解决。</w:t>
      </w:r>
      <w:r>
        <w:rPr>
          <w:rFonts w:hint="eastAsia" w:ascii="仿宋" w:hAnsi="仿宋" w:eastAsia="仿宋"/>
          <w:sz w:val="28"/>
          <w:szCs w:val="28"/>
        </w:rPr>
        <w:t>发现的主要问题及原因：工程早已完工，欠款应及时预算拨付。下一步改进措施：加大财政资金拨付力度。</w:t>
      </w:r>
    </w:p>
    <w:tbl>
      <w:tblPr>
        <w:tblStyle w:val="5"/>
        <w:tblW w:w="5000" w:type="pct"/>
        <w:tblInd w:w="0" w:type="dxa"/>
        <w:tblLayout w:type="autofit"/>
        <w:tblCellMar>
          <w:top w:w="0" w:type="dxa"/>
          <w:left w:w="108" w:type="dxa"/>
          <w:bottom w:w="0" w:type="dxa"/>
          <w:right w:w="108" w:type="dxa"/>
        </w:tblCellMar>
      </w:tblPr>
      <w:tblGrid>
        <w:gridCol w:w="1124"/>
        <w:gridCol w:w="1321"/>
        <w:gridCol w:w="1776"/>
        <w:gridCol w:w="536"/>
        <w:gridCol w:w="1058"/>
        <w:gridCol w:w="1057"/>
        <w:gridCol w:w="711"/>
        <w:gridCol w:w="939"/>
      </w:tblGrid>
      <w:tr>
        <w:tblPrEx>
          <w:tblCellMar>
            <w:top w:w="0" w:type="dxa"/>
            <w:left w:w="108" w:type="dxa"/>
            <w:bottom w:w="0" w:type="dxa"/>
            <w:right w:w="108" w:type="dxa"/>
          </w:tblCellMar>
        </w:tblPrEx>
        <w:trPr>
          <w:trHeight w:val="725" w:hRule="atLeast"/>
        </w:trPr>
        <w:tc>
          <w:tcPr>
            <w:tcW w:w="5000" w:type="pct"/>
            <w:gridSpan w:val="8"/>
            <w:tcBorders>
              <w:top w:val="nil"/>
              <w:left w:val="nil"/>
              <w:bottom w:val="single" w:color="auto" w:sz="4" w:space="0"/>
              <w:right w:val="nil"/>
            </w:tcBorders>
            <w:shd w:val="clear" w:color="auto" w:fill="auto"/>
            <w:noWrap/>
            <w:vAlign w:val="center"/>
          </w:tcPr>
          <w:p>
            <w:pPr>
              <w:adjustRightInd/>
              <w:snapToGrid/>
              <w:spacing w:after="0"/>
              <w:rPr>
                <w:rFonts w:ascii="宋体" w:hAnsi="宋体" w:eastAsia="宋体" w:cs="宋体"/>
                <w:b/>
                <w:bCs/>
                <w:sz w:val="32"/>
                <w:szCs w:val="32"/>
              </w:rPr>
            </w:pPr>
            <w:r>
              <w:rPr>
                <w:rFonts w:hint="eastAsia" w:ascii="宋体" w:hAnsi="宋体" w:eastAsia="宋体" w:cs="宋体"/>
                <w:b/>
                <w:bCs/>
                <w:sz w:val="18"/>
                <w:szCs w:val="18"/>
              </w:rPr>
              <w:t xml:space="preserve">附件1：                     </w:t>
            </w:r>
            <w:r>
              <w:rPr>
                <w:rFonts w:hint="eastAsia" w:ascii="宋体" w:hAnsi="宋体" w:eastAsia="宋体" w:cs="宋体"/>
                <w:b/>
                <w:bCs/>
                <w:sz w:val="32"/>
                <w:szCs w:val="32"/>
              </w:rPr>
              <w:t>紫东路工程自评价评分表</w:t>
            </w:r>
          </w:p>
        </w:tc>
      </w:tr>
      <w:tr>
        <w:tblPrEx>
          <w:tblCellMar>
            <w:top w:w="0" w:type="dxa"/>
            <w:left w:w="108" w:type="dxa"/>
            <w:bottom w:w="0" w:type="dxa"/>
            <w:right w:w="108" w:type="dxa"/>
          </w:tblCellMar>
        </w:tblPrEx>
        <w:trPr>
          <w:trHeight w:val="725"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一级指标</w:t>
            </w:r>
          </w:p>
        </w:tc>
        <w:tc>
          <w:tcPr>
            <w:tcW w:w="775"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二级指标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目标指标</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权重</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目标值</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业绩值</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完成率</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指标得分</w:t>
            </w:r>
          </w:p>
        </w:tc>
      </w:tr>
      <w:tr>
        <w:tblPrEx>
          <w:tblCellMar>
            <w:top w:w="0" w:type="dxa"/>
            <w:left w:w="108" w:type="dxa"/>
            <w:bottom w:w="0" w:type="dxa"/>
            <w:right w:w="108" w:type="dxa"/>
          </w:tblCellMar>
        </w:tblPrEx>
        <w:trPr>
          <w:trHeight w:val="664" w:hRule="atLeast"/>
        </w:trPr>
        <w:tc>
          <w:tcPr>
            <w:tcW w:w="660" w:type="pc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预算</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执行指标</w:t>
            </w:r>
          </w:p>
        </w:tc>
        <w:tc>
          <w:tcPr>
            <w:tcW w:w="775"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预算执行率</w:t>
            </w:r>
          </w:p>
        </w:tc>
        <w:tc>
          <w:tcPr>
            <w:tcW w:w="314" w:type="pct"/>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w:t>
            </w:r>
          </w:p>
        </w:tc>
        <w:tc>
          <w:tcPr>
            <w:tcW w:w="62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16.63%</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16.63%</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1.66</w:t>
            </w:r>
          </w:p>
        </w:tc>
      </w:tr>
      <w:tr>
        <w:tblPrEx>
          <w:tblCellMar>
            <w:top w:w="0" w:type="dxa"/>
            <w:left w:w="108" w:type="dxa"/>
            <w:bottom w:w="0" w:type="dxa"/>
            <w:right w:w="108" w:type="dxa"/>
          </w:tblCellMar>
        </w:tblPrEx>
        <w:trPr>
          <w:trHeight w:val="664" w:hRule="atLeast"/>
        </w:trPr>
        <w:tc>
          <w:tcPr>
            <w:tcW w:w="660" w:type="pct"/>
            <w:vMerge w:val="restar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产出指标</w:t>
            </w:r>
          </w:p>
        </w:tc>
        <w:tc>
          <w:tcPr>
            <w:tcW w:w="775" w:type="pct"/>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数量指标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道路全长</w:t>
            </w:r>
          </w:p>
        </w:tc>
        <w:tc>
          <w:tcPr>
            <w:tcW w:w="314"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620" w:type="pct"/>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=2.10千米</w:t>
            </w:r>
          </w:p>
        </w:tc>
        <w:tc>
          <w:tcPr>
            <w:tcW w:w="62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2.1千米</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标准宽度</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620" w:type="pct"/>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=30米</w:t>
            </w:r>
          </w:p>
        </w:tc>
        <w:tc>
          <w:tcPr>
            <w:tcW w:w="62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30米</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紫东路挡土墙</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上半部分新建长度</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620" w:type="pct"/>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=27米</w:t>
            </w:r>
          </w:p>
        </w:tc>
        <w:tc>
          <w:tcPr>
            <w:tcW w:w="62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27米</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紫东路挡土墙</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上半部分新建高度</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620" w:type="pct"/>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=22米</w:t>
            </w:r>
          </w:p>
        </w:tc>
        <w:tc>
          <w:tcPr>
            <w:tcW w:w="62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22米</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质量指标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完工验收合格率</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c>
          <w:tcPr>
            <w:tcW w:w="620"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时效指标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工程实施及时性</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及时</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成本指标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紫东路道路欠款</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540.65万元</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540.65万元</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紫东路挡土墙欠款</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=22.44万元</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=22.44万元</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w:t>
            </w:r>
          </w:p>
        </w:tc>
      </w:tr>
      <w:tr>
        <w:tblPrEx>
          <w:tblCellMar>
            <w:top w:w="0" w:type="dxa"/>
            <w:left w:w="108" w:type="dxa"/>
            <w:bottom w:w="0" w:type="dxa"/>
            <w:right w:w="108" w:type="dxa"/>
          </w:tblCellMar>
        </w:tblPrEx>
        <w:trPr>
          <w:trHeight w:val="664" w:hRule="atLeast"/>
        </w:trPr>
        <w:tc>
          <w:tcPr>
            <w:tcW w:w="660" w:type="pct"/>
            <w:vMerge w:val="restar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效益指标</w:t>
            </w:r>
          </w:p>
        </w:tc>
        <w:tc>
          <w:tcPr>
            <w:tcW w:w="775" w:type="pct"/>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经济效益</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带动周边土地价值</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提升</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区域经济发展</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加快</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社会效益</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群众出行便捷性</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提高</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县城交通压力</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缓解</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行驶安全性</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提升</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生态效益</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664" w:hRule="atLeast"/>
        </w:trPr>
        <w:tc>
          <w:tcPr>
            <w:tcW w:w="660" w:type="pct"/>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775"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可持续</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影响指标</w:t>
            </w:r>
          </w:p>
        </w:tc>
        <w:tc>
          <w:tcPr>
            <w:tcW w:w="1042"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664" w:hRule="atLeast"/>
        </w:trPr>
        <w:tc>
          <w:tcPr>
            <w:tcW w:w="660"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满意度指标</w:t>
            </w:r>
          </w:p>
        </w:tc>
        <w:tc>
          <w:tcPr>
            <w:tcW w:w="775" w:type="pct"/>
            <w:tcBorders>
              <w:top w:val="nil"/>
              <w:left w:val="nil"/>
              <w:bottom w:val="nil"/>
              <w:right w:val="nil"/>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服务对象</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满意度指标</w:t>
            </w:r>
          </w:p>
        </w:tc>
        <w:tc>
          <w:tcPr>
            <w:tcW w:w="1042"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群众满意度</w:t>
            </w:r>
          </w:p>
        </w:tc>
        <w:tc>
          <w:tcPr>
            <w:tcW w:w="314"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&gt;=90%</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55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0</w:t>
            </w:r>
          </w:p>
        </w:tc>
      </w:tr>
      <w:tr>
        <w:tblPrEx>
          <w:tblCellMar>
            <w:top w:w="0" w:type="dxa"/>
            <w:left w:w="108" w:type="dxa"/>
            <w:bottom w:w="0" w:type="dxa"/>
            <w:right w:w="108" w:type="dxa"/>
          </w:tblCellMar>
        </w:tblPrEx>
        <w:trPr>
          <w:trHeight w:val="664" w:hRule="atLeast"/>
        </w:trPr>
        <w:tc>
          <w:tcPr>
            <w:tcW w:w="247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5"/>
                <w:szCs w:val="15"/>
              </w:rPr>
            </w:pPr>
            <w:r>
              <w:rPr>
                <w:rFonts w:hint="eastAsia" w:ascii="宋体" w:hAnsi="宋体" w:eastAsia="宋体" w:cs="宋体"/>
                <w:sz w:val="15"/>
                <w:szCs w:val="15"/>
              </w:rPr>
              <w:t>合计</w:t>
            </w:r>
          </w:p>
        </w:tc>
        <w:tc>
          <w:tcPr>
            <w:tcW w:w="935" w:type="pct"/>
            <w:gridSpan w:val="2"/>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5"/>
                <w:szCs w:val="15"/>
              </w:rPr>
            </w:pPr>
            <w:r>
              <w:rPr>
                <w:rFonts w:hint="eastAsia" w:ascii="宋体" w:hAnsi="宋体" w:eastAsia="宋体" w:cs="宋体"/>
                <w:sz w:val="15"/>
                <w:szCs w:val="15"/>
              </w:rPr>
              <w:t>100</w:t>
            </w:r>
          </w:p>
        </w:tc>
        <w:tc>
          <w:tcPr>
            <w:tcW w:w="620"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5"/>
                <w:szCs w:val="15"/>
              </w:rPr>
            </w:pPr>
            <w:r>
              <w:rPr>
                <w:rFonts w:hint="eastAsia" w:ascii="宋体" w:hAnsi="宋体" w:eastAsia="宋体" w:cs="宋体"/>
                <w:sz w:val="15"/>
                <w:szCs w:val="15"/>
              </w:rPr>
              <w:t>　</w:t>
            </w:r>
          </w:p>
        </w:tc>
        <w:tc>
          <w:tcPr>
            <w:tcW w:w="417"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5"/>
                <w:szCs w:val="15"/>
              </w:rPr>
            </w:pPr>
            <w:r>
              <w:rPr>
                <w:rFonts w:hint="eastAsia" w:ascii="宋体" w:hAnsi="宋体" w:eastAsia="宋体" w:cs="宋体"/>
                <w:sz w:val="15"/>
                <w:szCs w:val="15"/>
              </w:rPr>
              <w:t>　</w:t>
            </w:r>
          </w:p>
        </w:tc>
        <w:tc>
          <w:tcPr>
            <w:tcW w:w="551"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5"/>
                <w:szCs w:val="15"/>
                <w:lang w:eastAsia="zh-CN"/>
              </w:rPr>
            </w:pPr>
            <w:r>
              <w:rPr>
                <w:rFonts w:hint="eastAsia" w:ascii="宋体" w:hAnsi="宋体" w:eastAsia="宋体" w:cs="宋体"/>
                <w:sz w:val="15"/>
                <w:szCs w:val="15"/>
              </w:rPr>
              <w:t>86.66</w:t>
            </w:r>
          </w:p>
          <w:p>
            <w:pPr>
              <w:adjustRightInd/>
              <w:snapToGrid/>
              <w:spacing w:after="0"/>
              <w:jc w:val="center"/>
              <w:rPr>
                <w:rFonts w:ascii="宋体" w:hAnsi="宋体" w:eastAsia="宋体" w:cs="宋体"/>
                <w:sz w:val="15"/>
                <w:szCs w:val="15"/>
              </w:rPr>
            </w:pPr>
            <w:r>
              <w:rPr>
                <w:rFonts w:hint="eastAsia" w:ascii="宋体" w:hAnsi="宋体" w:eastAsia="宋体" w:cs="宋体"/>
                <w:sz w:val="15"/>
                <w:szCs w:val="15"/>
              </w:rPr>
              <w:t>（良好）</w:t>
            </w:r>
          </w:p>
        </w:tc>
      </w:tr>
    </w:tbl>
    <w:p>
      <w:pPr>
        <w:pStyle w:val="11"/>
        <w:spacing w:before="0" w:after="0"/>
        <w:ind w:firstLine="560"/>
        <w:rPr>
          <w:rFonts w:ascii="仿宋" w:hAnsi="仿宋" w:eastAsia="仿宋"/>
          <w:b w:val="0"/>
          <w:bCs w:val="0"/>
          <w:szCs w:val="28"/>
        </w:rPr>
      </w:pPr>
      <w:r>
        <w:rPr>
          <w:rFonts w:hint="eastAsia" w:ascii="仿宋" w:hAnsi="仿宋" w:eastAsia="仿宋"/>
          <w:b w:val="0"/>
          <w:szCs w:val="28"/>
        </w:rPr>
        <w:t>2、兴华西街排水改造工程项目绩效自评综述：根据年初设定的绩效目标，项目自评得分为87.92分。全年预算数为377.18万元，执行数为30万元，完成预算的7.95%。项目绩效目标完成情况：</w:t>
      </w:r>
      <w:r>
        <w:rPr>
          <w:rFonts w:hint="eastAsia" w:ascii="仿宋" w:hAnsi="仿宋" w:eastAsia="仿宋"/>
          <w:b w:val="0"/>
          <w:bCs w:val="0"/>
          <w:szCs w:val="28"/>
        </w:rPr>
        <w:t>建设兴华西街北侧雨水主管855米，污水主管862米，南侧雨水主管517米；兴华西街南侧新建2米人行道，面积共计887.06平方米。一是有效解决了兴华西街雨污分流现状，完善了城市功能，二是改善了人居生活环境。</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发现的主要问题及原因：资金拨付不足，预算执行率偏低；下一步改进措施：足额预算，及时拨付工程资金。</w:t>
      </w:r>
    </w:p>
    <w:tbl>
      <w:tblPr>
        <w:tblStyle w:val="5"/>
        <w:tblW w:w="8465" w:type="dxa"/>
        <w:tblInd w:w="93" w:type="dxa"/>
        <w:tblLayout w:type="autofit"/>
        <w:tblCellMar>
          <w:top w:w="0" w:type="dxa"/>
          <w:left w:w="108" w:type="dxa"/>
          <w:bottom w:w="0" w:type="dxa"/>
          <w:right w:w="108" w:type="dxa"/>
        </w:tblCellMar>
      </w:tblPr>
      <w:tblGrid>
        <w:gridCol w:w="1321"/>
        <w:gridCol w:w="1394"/>
        <w:gridCol w:w="1555"/>
        <w:gridCol w:w="467"/>
        <w:gridCol w:w="947"/>
        <w:gridCol w:w="947"/>
        <w:gridCol w:w="680"/>
        <w:gridCol w:w="1154"/>
      </w:tblGrid>
      <w:tr>
        <w:tblPrEx>
          <w:tblCellMar>
            <w:top w:w="0" w:type="dxa"/>
            <w:left w:w="108" w:type="dxa"/>
            <w:bottom w:w="0" w:type="dxa"/>
            <w:right w:w="108" w:type="dxa"/>
          </w:tblCellMar>
        </w:tblPrEx>
        <w:trPr>
          <w:trHeight w:val="455" w:hRule="atLeast"/>
        </w:trPr>
        <w:tc>
          <w:tcPr>
            <w:tcW w:w="8465" w:type="dxa"/>
            <w:gridSpan w:val="8"/>
            <w:tcBorders>
              <w:top w:val="nil"/>
              <w:left w:val="nil"/>
              <w:bottom w:val="single" w:color="auto" w:sz="4" w:space="0"/>
              <w:right w:val="nil"/>
            </w:tcBorders>
            <w:shd w:val="clear" w:color="auto" w:fill="auto"/>
            <w:noWrap/>
            <w:vAlign w:val="center"/>
          </w:tcPr>
          <w:p>
            <w:pPr>
              <w:adjustRightInd/>
              <w:snapToGrid/>
              <w:spacing w:after="0"/>
              <w:rPr>
                <w:rFonts w:ascii="宋体" w:hAnsi="宋体" w:eastAsia="宋体" w:cs="宋体"/>
                <w:b/>
                <w:bCs/>
                <w:sz w:val="18"/>
                <w:szCs w:val="18"/>
              </w:rPr>
            </w:pPr>
            <w:r>
              <w:rPr>
                <w:rFonts w:hint="eastAsia" w:ascii="宋体" w:hAnsi="宋体" w:eastAsia="宋体" w:cs="宋体"/>
                <w:b/>
                <w:bCs/>
                <w:sz w:val="18"/>
                <w:szCs w:val="18"/>
              </w:rPr>
              <w:t>附件2：                     兴华西街排水改造工程项目自评价评分表</w:t>
            </w:r>
          </w:p>
        </w:tc>
      </w:tr>
      <w:tr>
        <w:tblPrEx>
          <w:tblCellMar>
            <w:top w:w="0" w:type="dxa"/>
            <w:left w:w="108" w:type="dxa"/>
            <w:bottom w:w="0" w:type="dxa"/>
            <w:right w:w="108" w:type="dxa"/>
          </w:tblCellMar>
        </w:tblPrEx>
        <w:trPr>
          <w:trHeight w:val="455"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一级指标</w:t>
            </w:r>
          </w:p>
        </w:tc>
        <w:tc>
          <w:tcPr>
            <w:tcW w:w="13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二级指标</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目标指标</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权重</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目标值</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业绩值</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完成率</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指标得分</w:t>
            </w:r>
          </w:p>
        </w:tc>
      </w:tr>
      <w:tr>
        <w:tblPrEx>
          <w:tblCellMar>
            <w:top w:w="0" w:type="dxa"/>
            <w:left w:w="108" w:type="dxa"/>
            <w:bottom w:w="0" w:type="dxa"/>
            <w:right w:w="108" w:type="dxa"/>
          </w:tblCellMar>
        </w:tblPrEx>
        <w:trPr>
          <w:trHeight w:val="417"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预算执行指标</w:t>
            </w:r>
          </w:p>
        </w:tc>
        <w:tc>
          <w:tcPr>
            <w:tcW w:w="13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预算执行指标</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预算执行率</w:t>
            </w:r>
          </w:p>
        </w:tc>
        <w:tc>
          <w:tcPr>
            <w:tcW w:w="467"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w:t>
            </w:r>
          </w:p>
        </w:tc>
        <w:tc>
          <w:tcPr>
            <w:tcW w:w="94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7.95%</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7.95%</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0.8</w:t>
            </w:r>
          </w:p>
        </w:tc>
      </w:tr>
      <w:tr>
        <w:tblPrEx>
          <w:tblCellMar>
            <w:top w:w="0" w:type="dxa"/>
            <w:left w:w="108" w:type="dxa"/>
            <w:bottom w:w="0" w:type="dxa"/>
            <w:right w:w="108" w:type="dxa"/>
          </w:tblCellMar>
        </w:tblPrEx>
        <w:trPr>
          <w:trHeight w:val="417" w:hRule="atLeast"/>
        </w:trPr>
        <w:tc>
          <w:tcPr>
            <w:tcW w:w="1321"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产出指标</w:t>
            </w:r>
          </w:p>
        </w:tc>
        <w:tc>
          <w:tcPr>
            <w:tcW w:w="1394" w:type="dxa"/>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数量指标</w:t>
            </w: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新修北侧</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雨水主管长度</w:t>
            </w:r>
          </w:p>
        </w:tc>
        <w:tc>
          <w:tcPr>
            <w:tcW w:w="46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855米</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855米</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新修南侧雨水</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主管长度</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517米</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517米</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新建人行道</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2米</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2米</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新修污水</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主管长度</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862米</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862米</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质量指标</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完工验收合格率</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90%</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5.4</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时效指标</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建设及时性</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及时</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restart"/>
            <w:tcBorders>
              <w:top w:val="nil"/>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成本指标</w:t>
            </w: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初设和施工图</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设计费欠款</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8.2万元</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8.2万元</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监理费欠款</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9.98万元</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9.98万元</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施工费欠款</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356万元</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356万元</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可研编制费</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欠款</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3万元</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3万元</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r>
      <w:tr>
        <w:tblPrEx>
          <w:tblCellMar>
            <w:top w:w="0" w:type="dxa"/>
            <w:left w:w="108" w:type="dxa"/>
            <w:bottom w:w="0" w:type="dxa"/>
            <w:right w:w="108" w:type="dxa"/>
          </w:tblCellMar>
        </w:tblPrEx>
        <w:trPr>
          <w:trHeight w:val="417" w:hRule="atLeast"/>
        </w:trPr>
        <w:tc>
          <w:tcPr>
            <w:tcW w:w="1321"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394" w:type="dxa"/>
            <w:tcBorders>
              <w:top w:val="nil"/>
              <w:left w:val="nil"/>
              <w:bottom w:val="nil"/>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经济效益</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社会效益</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生活环境</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改善</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90%</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90%</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5.4</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single" w:color="auto" w:sz="4" w:space="0"/>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基础设施建设</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不断完善</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95%</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95%</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5.7</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vMerge w:val="continue"/>
            <w:tcBorders>
              <w:top w:val="single" w:color="auto" w:sz="4" w:space="0"/>
              <w:left w:val="single" w:color="auto" w:sz="4" w:space="0"/>
              <w:bottom w:val="single" w:color="000000" w:sz="4" w:space="0"/>
              <w:right w:val="single" w:color="auto" w:sz="4" w:space="0"/>
            </w:tcBorders>
            <w:vAlign w:val="center"/>
          </w:tcPr>
          <w:p>
            <w:pPr>
              <w:adjustRightInd/>
              <w:snapToGrid/>
              <w:spacing w:after="0"/>
              <w:rPr>
                <w:rFonts w:ascii="宋体" w:hAnsi="宋体" w:eastAsia="宋体" w:cs="宋体"/>
                <w:sz w:val="16"/>
                <w:szCs w:val="16"/>
              </w:rPr>
            </w:pP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排污能力</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7</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提高</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85%</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85%</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5.96</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生态效益</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417" w:hRule="atLeast"/>
        </w:trPr>
        <w:tc>
          <w:tcPr>
            <w:tcW w:w="132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39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可持续</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影响指标</w:t>
            </w:r>
          </w:p>
        </w:tc>
        <w:tc>
          <w:tcPr>
            <w:tcW w:w="15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417"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满意度指标</w:t>
            </w:r>
          </w:p>
        </w:tc>
        <w:tc>
          <w:tcPr>
            <w:tcW w:w="1394" w:type="dxa"/>
            <w:tcBorders>
              <w:top w:val="nil"/>
              <w:left w:val="nil"/>
              <w:bottom w:val="nil"/>
              <w:right w:val="nil"/>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服务对象</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满意度指标</w:t>
            </w:r>
          </w:p>
        </w:tc>
        <w:tc>
          <w:tcPr>
            <w:tcW w:w="155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群众满意度</w:t>
            </w:r>
          </w:p>
        </w:tc>
        <w:tc>
          <w:tcPr>
            <w:tcW w:w="4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6</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&gt;=90%</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85%</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94%</w:t>
            </w:r>
          </w:p>
        </w:tc>
        <w:tc>
          <w:tcPr>
            <w:tcW w:w="115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5.67</w:t>
            </w:r>
          </w:p>
        </w:tc>
      </w:tr>
      <w:tr>
        <w:tblPrEx>
          <w:tblCellMar>
            <w:top w:w="0" w:type="dxa"/>
            <w:left w:w="108" w:type="dxa"/>
            <w:bottom w:w="0" w:type="dxa"/>
            <w:right w:w="108" w:type="dxa"/>
          </w:tblCellMar>
        </w:tblPrEx>
        <w:trPr>
          <w:trHeight w:val="417" w:hRule="atLeast"/>
        </w:trPr>
        <w:tc>
          <w:tcPr>
            <w:tcW w:w="42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合计</w:t>
            </w:r>
          </w:p>
        </w:tc>
        <w:tc>
          <w:tcPr>
            <w:tcW w:w="1414"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4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15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87.92</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（良好）</w:t>
            </w:r>
          </w:p>
        </w:tc>
      </w:tr>
    </w:tbl>
    <w:p>
      <w:pPr>
        <w:pStyle w:val="11"/>
        <w:ind w:firstLine="560"/>
        <w:rPr>
          <w:rFonts w:ascii="仿宋" w:hAnsi="仿宋" w:eastAsia="仿宋"/>
          <w:b w:val="0"/>
          <w:bCs w:val="0"/>
          <w:szCs w:val="28"/>
        </w:rPr>
      </w:pPr>
      <w:r>
        <w:rPr>
          <w:rFonts w:hint="eastAsia" w:ascii="仿宋" w:hAnsi="仿宋" w:eastAsia="仿宋"/>
          <w:b w:val="0"/>
          <w:szCs w:val="28"/>
        </w:rPr>
        <w:t>3、通天峡大酒店广场改造工程（周边地质灾害隐患治理）改造工程项目绩效自评综述：根据年初设定的绩效目标，项目自评得分为97.52分。全年预算数为157.73万元，执行数为138.23万元，完成预算的87.63%。项目绩效目标完成情况：</w:t>
      </w:r>
      <w:r>
        <w:rPr>
          <w:rFonts w:hint="eastAsia" w:ascii="仿宋" w:hAnsi="仿宋" w:eastAsia="仿宋"/>
          <w:b w:val="0"/>
          <w:bCs w:val="0"/>
          <w:szCs w:val="28"/>
        </w:rPr>
        <w:t>通天峡大酒店是我县招商引资重点项目，因该酒店周围地质环境较差，存在院落沉陷及边坡下滑的地质灾害隐患。经县长办公会议决定，由县住建局负责对通天峡大酒店周边地质灾害隐患进行应急治理。一是完成了工程各项内容，二是有效改善了周边群众居住环境，方便了人民群众出行安全。</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发现的主要问题及原因：资金执行率偏低，原因是工程审核价款小于合同价款；下一步改进措施：加强工程质量建立制度管理，确保工程质量，加强财政资金审计力度。</w:t>
      </w:r>
    </w:p>
    <w:tbl>
      <w:tblPr>
        <w:tblStyle w:val="5"/>
        <w:tblW w:w="8120" w:type="dxa"/>
        <w:tblInd w:w="93" w:type="dxa"/>
        <w:tblLayout w:type="autofit"/>
        <w:tblCellMar>
          <w:top w:w="0" w:type="dxa"/>
          <w:left w:w="108" w:type="dxa"/>
          <w:bottom w:w="0" w:type="dxa"/>
          <w:right w:w="108" w:type="dxa"/>
        </w:tblCellMar>
      </w:tblPr>
      <w:tblGrid>
        <w:gridCol w:w="1246"/>
        <w:gridCol w:w="1201"/>
        <w:gridCol w:w="1226"/>
        <w:gridCol w:w="440"/>
        <w:gridCol w:w="1296"/>
        <w:gridCol w:w="1094"/>
        <w:gridCol w:w="696"/>
        <w:gridCol w:w="975"/>
      </w:tblGrid>
      <w:tr>
        <w:tblPrEx>
          <w:tblCellMar>
            <w:top w:w="0" w:type="dxa"/>
            <w:left w:w="108" w:type="dxa"/>
            <w:bottom w:w="0" w:type="dxa"/>
            <w:right w:w="108" w:type="dxa"/>
          </w:tblCellMar>
        </w:tblPrEx>
        <w:trPr>
          <w:trHeight w:val="540" w:hRule="atLeast"/>
        </w:trPr>
        <w:tc>
          <w:tcPr>
            <w:tcW w:w="8120" w:type="dxa"/>
            <w:gridSpan w:val="8"/>
            <w:tcBorders>
              <w:top w:val="nil"/>
              <w:left w:val="nil"/>
              <w:bottom w:val="single" w:color="auto" w:sz="4" w:space="0"/>
              <w:right w:val="nil"/>
            </w:tcBorders>
            <w:shd w:val="clear" w:color="auto" w:fill="auto"/>
            <w:noWrap/>
            <w:vAlign w:val="center"/>
          </w:tcPr>
          <w:p>
            <w:pPr>
              <w:adjustRightInd/>
              <w:snapToGrid/>
              <w:spacing w:after="0"/>
              <w:rPr>
                <w:rFonts w:ascii="宋体" w:hAnsi="宋体" w:eastAsia="宋体" w:cs="宋体"/>
                <w:b/>
                <w:bCs/>
                <w:sz w:val="18"/>
                <w:szCs w:val="18"/>
              </w:rPr>
            </w:pPr>
            <w:r>
              <w:rPr>
                <w:rFonts w:hint="eastAsia" w:ascii="宋体" w:hAnsi="宋体" w:eastAsia="宋体" w:cs="宋体"/>
                <w:b/>
                <w:bCs/>
                <w:sz w:val="18"/>
                <w:szCs w:val="18"/>
              </w:rPr>
              <w:t>附件3：       通天峡大酒店广场改造（周边地质灾害隐患治理）工程自评价评分表</w:t>
            </w:r>
          </w:p>
        </w:tc>
      </w:tr>
      <w:tr>
        <w:tblPrEx>
          <w:tblCellMar>
            <w:top w:w="0" w:type="dxa"/>
            <w:left w:w="108" w:type="dxa"/>
            <w:bottom w:w="0" w:type="dxa"/>
            <w:right w:w="108" w:type="dxa"/>
          </w:tblCellMar>
        </w:tblPrEx>
        <w:trPr>
          <w:trHeight w:val="540" w:hRule="atLeast"/>
        </w:trPr>
        <w:tc>
          <w:tcPr>
            <w:tcW w:w="1246"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一级指标</w:t>
            </w:r>
          </w:p>
        </w:tc>
        <w:tc>
          <w:tcPr>
            <w:tcW w:w="12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二级指标</w:t>
            </w:r>
          </w:p>
        </w:tc>
        <w:tc>
          <w:tcPr>
            <w:tcW w:w="122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目标指标</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权重</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目标值</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业绩值</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完成率</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指标得分</w:t>
            </w:r>
          </w:p>
        </w:tc>
      </w:tr>
      <w:tr>
        <w:tblPrEx>
          <w:tblCellMar>
            <w:top w:w="0" w:type="dxa"/>
            <w:left w:w="108" w:type="dxa"/>
            <w:bottom w:w="0" w:type="dxa"/>
            <w:right w:w="108" w:type="dxa"/>
          </w:tblCellMar>
        </w:tblPrEx>
        <w:trPr>
          <w:trHeight w:val="495" w:hRule="atLeast"/>
        </w:trPr>
        <w:tc>
          <w:tcPr>
            <w:tcW w:w="1246"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预算执行指标</w:t>
            </w:r>
          </w:p>
        </w:tc>
        <w:tc>
          <w:tcPr>
            <w:tcW w:w="120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预算执行</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指标</w:t>
            </w:r>
          </w:p>
        </w:tc>
        <w:tc>
          <w:tcPr>
            <w:tcW w:w="122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预算执行率</w:t>
            </w:r>
          </w:p>
        </w:tc>
        <w:tc>
          <w:tcPr>
            <w:tcW w:w="440"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w:t>
            </w:r>
          </w:p>
        </w:tc>
        <w:tc>
          <w:tcPr>
            <w:tcW w:w="1296"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87.63%</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87.63%</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8.76</w:t>
            </w:r>
          </w:p>
        </w:tc>
      </w:tr>
      <w:tr>
        <w:tblPrEx>
          <w:tblCellMar>
            <w:top w:w="0" w:type="dxa"/>
            <w:left w:w="108" w:type="dxa"/>
            <w:bottom w:w="0" w:type="dxa"/>
            <w:right w:w="108" w:type="dxa"/>
          </w:tblCellMar>
        </w:tblPrEx>
        <w:trPr>
          <w:trHeight w:val="495" w:hRule="atLeast"/>
        </w:trPr>
        <w:tc>
          <w:tcPr>
            <w:tcW w:w="1246"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产出指标</w:t>
            </w:r>
          </w:p>
        </w:tc>
        <w:tc>
          <w:tcPr>
            <w:tcW w:w="1201" w:type="dxa"/>
            <w:tcBorders>
              <w:top w:val="nil"/>
              <w:left w:val="nil"/>
              <w:bottom w:val="nil"/>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数量指标</w:t>
            </w:r>
          </w:p>
        </w:tc>
        <w:tc>
          <w:tcPr>
            <w:tcW w:w="1226" w:type="dxa"/>
            <w:tcBorders>
              <w:top w:val="nil"/>
              <w:left w:val="nil"/>
              <w:bottom w:val="nil"/>
              <w:right w:val="nil"/>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维修加固</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工程量</w:t>
            </w:r>
          </w:p>
        </w:tc>
        <w:tc>
          <w:tcPr>
            <w:tcW w:w="44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w:t>
            </w:r>
          </w:p>
        </w:tc>
        <w:tc>
          <w:tcPr>
            <w:tcW w:w="1296"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&gt;=2000平方米</w:t>
            </w:r>
          </w:p>
        </w:tc>
        <w:tc>
          <w:tcPr>
            <w:tcW w:w="1094"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2000平方米</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w:t>
            </w:r>
          </w:p>
        </w:tc>
      </w:tr>
      <w:tr>
        <w:tblPrEx>
          <w:tblCellMar>
            <w:top w:w="0" w:type="dxa"/>
            <w:left w:w="108" w:type="dxa"/>
            <w:bottom w:w="0" w:type="dxa"/>
            <w:right w:w="108" w:type="dxa"/>
          </w:tblCellMar>
        </w:tblPrEx>
        <w:trPr>
          <w:trHeight w:val="495" w:hRule="atLeast"/>
        </w:trPr>
        <w:tc>
          <w:tcPr>
            <w:tcW w:w="12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201"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质量指标</w:t>
            </w:r>
          </w:p>
        </w:tc>
        <w:tc>
          <w:tcPr>
            <w:tcW w:w="122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验收合格率</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13</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13</w:t>
            </w:r>
          </w:p>
        </w:tc>
      </w:tr>
      <w:tr>
        <w:tblPrEx>
          <w:tblCellMar>
            <w:top w:w="0" w:type="dxa"/>
            <w:left w:w="108" w:type="dxa"/>
            <w:bottom w:w="0" w:type="dxa"/>
            <w:right w:w="108" w:type="dxa"/>
          </w:tblCellMar>
        </w:tblPrEx>
        <w:trPr>
          <w:trHeight w:val="495" w:hRule="atLeast"/>
        </w:trPr>
        <w:tc>
          <w:tcPr>
            <w:tcW w:w="12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2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时效指标</w:t>
            </w:r>
          </w:p>
        </w:tc>
        <w:tc>
          <w:tcPr>
            <w:tcW w:w="122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维修及时性</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12</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及时</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12</w:t>
            </w:r>
          </w:p>
        </w:tc>
      </w:tr>
      <w:tr>
        <w:tblPrEx>
          <w:tblCellMar>
            <w:top w:w="0" w:type="dxa"/>
            <w:left w:w="108" w:type="dxa"/>
            <w:bottom w:w="0" w:type="dxa"/>
            <w:right w:w="108" w:type="dxa"/>
          </w:tblCellMar>
        </w:tblPrEx>
        <w:trPr>
          <w:trHeight w:val="495" w:hRule="atLeast"/>
        </w:trPr>
        <w:tc>
          <w:tcPr>
            <w:tcW w:w="12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2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成本指标</w:t>
            </w:r>
          </w:p>
        </w:tc>
        <w:tc>
          <w:tcPr>
            <w:tcW w:w="1226"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工程欠款</w:t>
            </w:r>
          </w:p>
        </w:tc>
        <w:tc>
          <w:tcPr>
            <w:tcW w:w="44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157.73万元</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138.23万元</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88%</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8.76</w:t>
            </w:r>
          </w:p>
        </w:tc>
      </w:tr>
      <w:tr>
        <w:tblPrEx>
          <w:tblCellMar>
            <w:top w:w="0" w:type="dxa"/>
            <w:left w:w="108" w:type="dxa"/>
            <w:bottom w:w="0" w:type="dxa"/>
            <w:right w:w="108" w:type="dxa"/>
          </w:tblCellMar>
        </w:tblPrEx>
        <w:trPr>
          <w:trHeight w:val="495" w:hRule="atLeast"/>
        </w:trPr>
        <w:tc>
          <w:tcPr>
            <w:tcW w:w="1246" w:type="dxa"/>
            <w:vMerge w:val="restar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效益指标</w:t>
            </w:r>
          </w:p>
        </w:tc>
        <w:tc>
          <w:tcPr>
            <w:tcW w:w="1201" w:type="dxa"/>
            <w:tcBorders>
              <w:top w:val="nil"/>
              <w:left w:val="nil"/>
              <w:bottom w:val="nil"/>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经济效益</w:t>
            </w:r>
          </w:p>
        </w:tc>
        <w:tc>
          <w:tcPr>
            <w:tcW w:w="122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495" w:hRule="atLeast"/>
        </w:trPr>
        <w:tc>
          <w:tcPr>
            <w:tcW w:w="12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201"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社会效益</w:t>
            </w:r>
          </w:p>
        </w:tc>
        <w:tc>
          <w:tcPr>
            <w:tcW w:w="1226" w:type="dxa"/>
            <w:tcBorders>
              <w:top w:val="nil"/>
              <w:left w:val="nil"/>
              <w:bottom w:val="nil"/>
              <w:right w:val="nil"/>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改善酒店</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周边环境</w:t>
            </w:r>
          </w:p>
        </w:tc>
        <w:tc>
          <w:tcPr>
            <w:tcW w:w="44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改善</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w:t>
            </w:r>
          </w:p>
        </w:tc>
      </w:tr>
      <w:tr>
        <w:tblPrEx>
          <w:tblCellMar>
            <w:top w:w="0" w:type="dxa"/>
            <w:left w:w="108" w:type="dxa"/>
            <w:bottom w:w="0" w:type="dxa"/>
            <w:right w:w="108" w:type="dxa"/>
          </w:tblCellMar>
        </w:tblPrEx>
        <w:trPr>
          <w:trHeight w:val="495" w:hRule="atLeast"/>
        </w:trPr>
        <w:tc>
          <w:tcPr>
            <w:tcW w:w="12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2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生态效益</w:t>
            </w:r>
          </w:p>
        </w:tc>
        <w:tc>
          <w:tcPr>
            <w:tcW w:w="122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r>
      <w:tr>
        <w:tblPrEx>
          <w:tblCellMar>
            <w:top w:w="0" w:type="dxa"/>
            <w:left w:w="108" w:type="dxa"/>
            <w:bottom w:w="0" w:type="dxa"/>
            <w:right w:w="108" w:type="dxa"/>
          </w:tblCellMar>
        </w:tblPrEx>
        <w:trPr>
          <w:trHeight w:val="495" w:hRule="atLeast"/>
        </w:trPr>
        <w:tc>
          <w:tcPr>
            <w:tcW w:w="12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16"/>
                <w:szCs w:val="16"/>
              </w:rPr>
            </w:pPr>
          </w:p>
        </w:tc>
        <w:tc>
          <w:tcPr>
            <w:tcW w:w="1201" w:type="dxa"/>
            <w:tcBorders>
              <w:top w:val="nil"/>
              <w:left w:val="nil"/>
              <w:bottom w:val="single" w:color="auto" w:sz="4" w:space="0"/>
              <w:right w:val="nil"/>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可持续</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影响指标</w:t>
            </w:r>
          </w:p>
        </w:tc>
        <w:tc>
          <w:tcPr>
            <w:tcW w:w="12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改善县城</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对外形象</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改善</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w:t>
            </w:r>
          </w:p>
        </w:tc>
      </w:tr>
      <w:tr>
        <w:tblPrEx>
          <w:tblCellMar>
            <w:top w:w="0" w:type="dxa"/>
            <w:left w:w="108" w:type="dxa"/>
            <w:bottom w:w="0" w:type="dxa"/>
            <w:right w:w="108" w:type="dxa"/>
          </w:tblCellMar>
        </w:tblPrEx>
        <w:trPr>
          <w:trHeight w:val="495" w:hRule="atLeast"/>
        </w:trPr>
        <w:tc>
          <w:tcPr>
            <w:tcW w:w="1246"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满意度指标</w:t>
            </w:r>
          </w:p>
        </w:tc>
        <w:tc>
          <w:tcPr>
            <w:tcW w:w="1201" w:type="dxa"/>
            <w:tcBorders>
              <w:top w:val="nil"/>
              <w:left w:val="nil"/>
              <w:bottom w:val="nil"/>
              <w:right w:val="nil"/>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服务对象</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满意度指标</w:t>
            </w:r>
          </w:p>
        </w:tc>
        <w:tc>
          <w:tcPr>
            <w:tcW w:w="12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委托方</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满意度</w:t>
            </w:r>
          </w:p>
        </w:tc>
        <w:tc>
          <w:tcPr>
            <w:tcW w:w="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w:t>
            </w:r>
          </w:p>
        </w:tc>
        <w:tc>
          <w:tcPr>
            <w:tcW w:w="12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&gt;=90%</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90%</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9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15</w:t>
            </w:r>
          </w:p>
        </w:tc>
      </w:tr>
      <w:tr>
        <w:tblPrEx>
          <w:tblCellMar>
            <w:top w:w="0" w:type="dxa"/>
            <w:left w:w="108" w:type="dxa"/>
            <w:bottom w:w="0" w:type="dxa"/>
            <w:right w:w="108" w:type="dxa"/>
          </w:tblCellMar>
        </w:tblPrEx>
        <w:trPr>
          <w:trHeight w:val="495" w:hRule="atLeast"/>
        </w:trPr>
        <w:tc>
          <w:tcPr>
            <w:tcW w:w="36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合计</w:t>
            </w:r>
          </w:p>
        </w:tc>
        <w:tc>
          <w:tcPr>
            <w:tcW w:w="1736"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100</w:t>
            </w:r>
          </w:p>
        </w:tc>
        <w:tc>
          <w:tcPr>
            <w:tcW w:w="109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64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　</w:t>
            </w:r>
          </w:p>
        </w:tc>
        <w:tc>
          <w:tcPr>
            <w:tcW w:w="97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16"/>
                <w:szCs w:val="16"/>
                <w:lang w:eastAsia="zh-CN"/>
              </w:rPr>
            </w:pPr>
            <w:r>
              <w:rPr>
                <w:rFonts w:hint="eastAsia" w:ascii="宋体" w:hAnsi="宋体" w:eastAsia="宋体" w:cs="宋体"/>
                <w:sz w:val="16"/>
                <w:szCs w:val="16"/>
              </w:rPr>
              <w:t>86.66</w:t>
            </w:r>
          </w:p>
          <w:p>
            <w:pPr>
              <w:adjustRightInd/>
              <w:snapToGrid/>
              <w:spacing w:after="0"/>
              <w:jc w:val="center"/>
              <w:rPr>
                <w:rFonts w:ascii="宋体" w:hAnsi="宋体" w:eastAsia="宋体" w:cs="宋体"/>
                <w:sz w:val="16"/>
                <w:szCs w:val="16"/>
              </w:rPr>
            </w:pPr>
            <w:r>
              <w:rPr>
                <w:rFonts w:hint="eastAsia" w:ascii="宋体" w:hAnsi="宋体" w:eastAsia="宋体" w:cs="宋体"/>
                <w:sz w:val="16"/>
                <w:szCs w:val="16"/>
              </w:rPr>
              <w:t>（良好）</w:t>
            </w:r>
          </w:p>
        </w:tc>
      </w:tr>
    </w:tbl>
    <w:p>
      <w:pPr>
        <w:spacing w:line="220" w:lineRule="atLeast"/>
        <w:ind w:firstLine="560" w:firstLineChars="200"/>
        <w:rPr>
          <w:sz w:val="28"/>
          <w:szCs w:val="28"/>
        </w:rPr>
      </w:pPr>
    </w:p>
    <w:p>
      <w:pPr>
        <w:spacing w:line="220" w:lineRule="atLeast"/>
        <w:ind w:firstLine="560" w:firstLineChars="200"/>
        <w:rPr>
          <w:sz w:val="28"/>
          <w:szCs w:val="28"/>
        </w:rPr>
      </w:pPr>
    </w:p>
    <w:p>
      <w:pPr>
        <w:spacing w:line="500" w:lineRule="exact"/>
        <w:ind w:firstLine="560" w:firstLineChars="200"/>
        <w:rPr>
          <w:b/>
          <w:sz w:val="28"/>
          <w:szCs w:val="28"/>
        </w:rPr>
      </w:pPr>
      <w:r>
        <w:rPr>
          <w:rFonts w:hint="eastAsia"/>
          <w:b/>
          <w:sz w:val="28"/>
          <w:szCs w:val="28"/>
        </w:rPr>
        <w:t>（3）部门评价项目绩效评价结果。</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我单位没有部门评价项目绩效评价结果</w:t>
      </w:r>
    </w:p>
    <w:p>
      <w:pPr>
        <w:spacing w:line="500" w:lineRule="exact"/>
        <w:ind w:firstLine="420" w:firstLineChars="150"/>
        <w:rPr>
          <w:b/>
          <w:sz w:val="28"/>
          <w:szCs w:val="28"/>
        </w:rPr>
      </w:pPr>
      <w:r>
        <w:rPr>
          <w:rFonts w:hint="eastAsia"/>
          <w:b/>
          <w:sz w:val="28"/>
          <w:szCs w:val="28"/>
        </w:rPr>
        <w:t>（五）其他需要说明的事项</w:t>
      </w:r>
    </w:p>
    <w:p>
      <w:pPr>
        <w:spacing w:after="0" w:line="500" w:lineRule="exact"/>
        <w:ind w:firstLine="562" w:firstLineChars="200"/>
        <w:rPr>
          <w:rFonts w:ascii="仿宋" w:hAnsi="仿宋" w:eastAsia="仿宋" w:cs="宋体"/>
          <w:sz w:val="28"/>
          <w:szCs w:val="28"/>
        </w:rPr>
      </w:pPr>
      <w:r>
        <w:rPr>
          <w:rFonts w:hint="eastAsia" w:ascii="仿宋" w:hAnsi="仿宋" w:eastAsia="仿宋"/>
          <w:b/>
          <w:sz w:val="28"/>
          <w:szCs w:val="28"/>
        </w:rPr>
        <w:t>1、培训费：</w:t>
      </w:r>
      <w:r>
        <w:rPr>
          <w:rFonts w:hint="eastAsia" w:ascii="仿宋" w:hAnsi="仿宋" w:eastAsia="仿宋"/>
          <w:sz w:val="28"/>
          <w:szCs w:val="28"/>
        </w:rPr>
        <w:t>全</w:t>
      </w:r>
      <w:r>
        <w:rPr>
          <w:rFonts w:ascii="仿宋" w:hAnsi="仿宋" w:eastAsia="仿宋"/>
          <w:sz w:val="28"/>
          <w:szCs w:val="28"/>
        </w:rPr>
        <w:t>年一般公共预算拨款安排的培训费决算</w:t>
      </w:r>
      <w:r>
        <w:rPr>
          <w:rFonts w:hint="eastAsia" w:ascii="仿宋" w:hAnsi="仿宋" w:eastAsia="仿宋"/>
          <w:sz w:val="28"/>
          <w:szCs w:val="28"/>
        </w:rPr>
        <w:t>年初预算0万元，支出决算</w:t>
      </w:r>
      <w:r>
        <w:rPr>
          <w:rFonts w:hint="eastAsia" w:ascii="仿宋" w:hAnsi="仿宋" w:eastAsia="仿宋" w:cs="宋体"/>
          <w:sz w:val="28"/>
          <w:szCs w:val="28"/>
        </w:rPr>
        <w:t>0</w:t>
      </w:r>
      <w:r>
        <w:rPr>
          <w:rFonts w:hint="eastAsia" w:ascii="仿宋" w:hAnsi="仿宋" w:eastAsia="仿宋"/>
          <w:sz w:val="28"/>
          <w:szCs w:val="28"/>
        </w:rPr>
        <w:t>万元，完成年初预算的0%，比上年增加</w:t>
      </w:r>
      <w:r>
        <w:rPr>
          <w:rFonts w:hint="eastAsia" w:ascii="仿宋" w:hAnsi="仿宋" w:eastAsia="仿宋" w:cs="宋体"/>
          <w:sz w:val="28"/>
          <w:szCs w:val="28"/>
        </w:rPr>
        <w:t>0</w:t>
      </w:r>
      <w:r>
        <w:rPr>
          <w:rFonts w:hint="eastAsia" w:ascii="仿宋" w:hAnsi="仿宋" w:eastAsia="仿宋"/>
          <w:sz w:val="28"/>
          <w:szCs w:val="28"/>
        </w:rPr>
        <w:t>万元，增长</w:t>
      </w:r>
      <w:r>
        <w:rPr>
          <w:rFonts w:hint="eastAsia" w:ascii="仿宋" w:hAnsi="仿宋" w:eastAsia="仿宋" w:cs="宋体"/>
          <w:sz w:val="28"/>
          <w:szCs w:val="28"/>
        </w:rPr>
        <w:t>0</w:t>
      </w:r>
      <w:r>
        <w:rPr>
          <w:rFonts w:hint="eastAsia" w:ascii="仿宋" w:hAnsi="仿宋" w:eastAsia="仿宋"/>
          <w:sz w:val="28"/>
          <w:szCs w:val="28"/>
        </w:rPr>
        <w:t>%，原因是我单位2021年年初没有安排培训费</w:t>
      </w:r>
      <w:r>
        <w:rPr>
          <w:rFonts w:ascii="仿宋" w:hAnsi="仿宋" w:eastAsia="仿宋"/>
          <w:sz w:val="28"/>
          <w:szCs w:val="28"/>
        </w:rPr>
        <w:t>。20</w:t>
      </w:r>
      <w:r>
        <w:rPr>
          <w:rFonts w:hint="eastAsia" w:ascii="仿宋" w:hAnsi="仿宋" w:eastAsia="仿宋"/>
          <w:sz w:val="28"/>
          <w:szCs w:val="28"/>
        </w:rPr>
        <w:t>21</w:t>
      </w:r>
      <w:r>
        <w:rPr>
          <w:rFonts w:ascii="仿宋" w:hAnsi="仿宋" w:eastAsia="仿宋"/>
          <w:sz w:val="28"/>
          <w:szCs w:val="28"/>
        </w:rPr>
        <w:t>年度全年组织培训</w:t>
      </w:r>
      <w:r>
        <w:rPr>
          <w:rFonts w:hint="eastAsia" w:ascii="仿宋" w:hAnsi="仿宋" w:eastAsia="仿宋"/>
          <w:sz w:val="28"/>
          <w:szCs w:val="28"/>
        </w:rPr>
        <w:t xml:space="preserve"> 0</w:t>
      </w:r>
      <w:r>
        <w:rPr>
          <w:rFonts w:ascii="仿宋" w:hAnsi="仿宋" w:eastAsia="仿宋"/>
          <w:sz w:val="28"/>
          <w:szCs w:val="28"/>
        </w:rPr>
        <w:t>个，组织培训</w:t>
      </w:r>
      <w:r>
        <w:rPr>
          <w:rFonts w:hint="eastAsia" w:ascii="仿宋" w:hAnsi="仿宋" w:eastAsia="仿宋"/>
          <w:sz w:val="28"/>
          <w:szCs w:val="28"/>
        </w:rPr>
        <w:t xml:space="preserve"> 0</w:t>
      </w:r>
      <w:r>
        <w:rPr>
          <w:rFonts w:ascii="仿宋" w:hAnsi="仿宋" w:eastAsia="仿宋"/>
          <w:sz w:val="28"/>
          <w:szCs w:val="28"/>
        </w:rPr>
        <w:t>人次</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 xml:space="preserve">   </w:t>
      </w:r>
    </w:p>
    <w:tbl>
      <w:tblPr>
        <w:tblStyle w:val="5"/>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rPr>
            </w:pPr>
            <w:r>
              <w:rPr>
                <w:rFonts w:hint="eastAsia" w:ascii="宋体" w:hAnsi="宋体" w:cs="宋体"/>
                <w:b/>
                <w:bCs/>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bl>
    <w:p>
      <w:pPr>
        <w:spacing w:line="500" w:lineRule="exact"/>
        <w:ind w:firstLine="562" w:firstLineChars="200"/>
        <w:rPr>
          <w:rFonts w:ascii="仿宋" w:hAnsi="仿宋" w:eastAsia="仿宋" w:cs="宋体"/>
          <w:sz w:val="28"/>
          <w:szCs w:val="28"/>
        </w:rPr>
      </w:pPr>
      <w:r>
        <w:rPr>
          <w:rFonts w:hint="eastAsia" w:ascii="仿宋" w:hAnsi="仿宋" w:eastAsia="仿宋"/>
          <w:b/>
          <w:sz w:val="28"/>
          <w:szCs w:val="28"/>
        </w:rPr>
        <w:t>2、会议费：</w:t>
      </w:r>
      <w:r>
        <w:rPr>
          <w:rFonts w:hint="eastAsia" w:ascii="仿宋" w:hAnsi="仿宋" w:eastAsia="仿宋"/>
          <w:sz w:val="28"/>
          <w:szCs w:val="28"/>
        </w:rPr>
        <w:t>全年</w:t>
      </w:r>
      <w:r>
        <w:rPr>
          <w:rFonts w:ascii="仿宋" w:hAnsi="仿宋" w:eastAsia="仿宋"/>
          <w:sz w:val="28"/>
          <w:szCs w:val="28"/>
        </w:rPr>
        <w:t>一般公共预算拨款安排的会议费</w:t>
      </w:r>
      <w:r>
        <w:rPr>
          <w:rFonts w:hint="eastAsia" w:ascii="仿宋" w:hAnsi="仿宋" w:eastAsia="仿宋"/>
          <w:sz w:val="28"/>
          <w:szCs w:val="28"/>
        </w:rPr>
        <w:t>年初预算0万元，支出决算</w:t>
      </w:r>
      <w:r>
        <w:rPr>
          <w:rFonts w:hint="eastAsia" w:ascii="仿宋" w:hAnsi="仿宋" w:eastAsia="仿宋" w:cs="宋体"/>
          <w:sz w:val="28"/>
          <w:szCs w:val="28"/>
        </w:rPr>
        <w:t>0</w:t>
      </w:r>
      <w:r>
        <w:rPr>
          <w:rFonts w:hint="eastAsia" w:ascii="仿宋" w:hAnsi="仿宋" w:eastAsia="仿宋"/>
          <w:sz w:val="28"/>
          <w:szCs w:val="28"/>
        </w:rPr>
        <w:t>万元，完成年初预算的0%，比上年增加</w:t>
      </w:r>
      <w:r>
        <w:rPr>
          <w:rFonts w:hint="eastAsia" w:ascii="仿宋" w:hAnsi="仿宋" w:eastAsia="仿宋" w:cs="宋体"/>
          <w:sz w:val="28"/>
          <w:szCs w:val="28"/>
        </w:rPr>
        <w:t>0</w:t>
      </w:r>
      <w:r>
        <w:rPr>
          <w:rFonts w:hint="eastAsia" w:ascii="仿宋" w:hAnsi="仿宋" w:eastAsia="仿宋"/>
          <w:sz w:val="28"/>
          <w:szCs w:val="28"/>
        </w:rPr>
        <w:t>万元，增长</w:t>
      </w:r>
      <w:r>
        <w:rPr>
          <w:rFonts w:hint="eastAsia" w:ascii="仿宋" w:hAnsi="仿宋" w:eastAsia="仿宋" w:cs="宋体"/>
          <w:sz w:val="28"/>
          <w:szCs w:val="28"/>
        </w:rPr>
        <w:t>0</w:t>
      </w:r>
      <w:r>
        <w:rPr>
          <w:rFonts w:hint="eastAsia" w:ascii="仿宋" w:hAnsi="仿宋" w:eastAsia="仿宋"/>
          <w:sz w:val="28"/>
          <w:szCs w:val="28"/>
        </w:rPr>
        <w:t>%，原因是我单位2021年年初没有安排会议费</w:t>
      </w:r>
      <w:r>
        <w:rPr>
          <w:rFonts w:ascii="仿宋" w:hAnsi="仿宋" w:eastAsia="仿宋"/>
          <w:sz w:val="28"/>
          <w:szCs w:val="28"/>
        </w:rPr>
        <w:t>。20</w:t>
      </w:r>
      <w:r>
        <w:rPr>
          <w:rFonts w:hint="eastAsia" w:ascii="仿宋" w:hAnsi="仿宋" w:eastAsia="仿宋"/>
          <w:sz w:val="28"/>
          <w:szCs w:val="28"/>
        </w:rPr>
        <w:t>21</w:t>
      </w:r>
      <w:r>
        <w:rPr>
          <w:rFonts w:ascii="仿宋" w:hAnsi="仿宋" w:eastAsia="仿宋"/>
          <w:sz w:val="28"/>
          <w:szCs w:val="28"/>
        </w:rPr>
        <w:t>年度全年召开会议</w:t>
      </w:r>
      <w:r>
        <w:rPr>
          <w:rFonts w:hint="eastAsia" w:ascii="仿宋" w:hAnsi="仿宋" w:eastAsia="仿宋"/>
          <w:sz w:val="28"/>
          <w:szCs w:val="28"/>
        </w:rPr>
        <w:t>0</w:t>
      </w:r>
      <w:r>
        <w:rPr>
          <w:rFonts w:ascii="仿宋" w:hAnsi="仿宋" w:eastAsia="仿宋"/>
          <w:sz w:val="28"/>
          <w:szCs w:val="28"/>
        </w:rPr>
        <w:t>个，参加会议</w:t>
      </w:r>
      <w:r>
        <w:rPr>
          <w:rFonts w:hint="eastAsia" w:ascii="仿宋" w:hAnsi="仿宋" w:eastAsia="仿宋"/>
          <w:sz w:val="28"/>
          <w:szCs w:val="28"/>
        </w:rPr>
        <w:t>0</w:t>
      </w:r>
      <w:r>
        <w:rPr>
          <w:rFonts w:ascii="仿宋" w:hAnsi="仿宋" w:eastAsia="仿宋"/>
          <w:sz w:val="28"/>
          <w:szCs w:val="28"/>
        </w:rPr>
        <w:t>人次。</w:t>
      </w:r>
    </w:p>
    <w:tbl>
      <w:tblPr>
        <w:tblStyle w:val="5"/>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rPr>
            </w:pPr>
            <w:r>
              <w:rPr>
                <w:rFonts w:hint="eastAsia" w:ascii="宋体" w:hAnsi="宋体" w:cs="宋体"/>
                <w:b/>
                <w:bCs/>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bl>
    <w:p>
      <w:pPr>
        <w:spacing w:after="0" w:line="500" w:lineRule="exact"/>
        <w:ind w:firstLine="482"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after="0" w:line="500" w:lineRule="exact"/>
        <w:ind w:firstLine="420" w:firstLineChars="150"/>
        <w:rPr>
          <w:rFonts w:ascii="仿宋" w:hAnsi="仿宋" w:eastAsia="仿宋"/>
          <w:sz w:val="28"/>
          <w:szCs w:val="28"/>
        </w:rPr>
      </w:pPr>
      <w:r>
        <w:rPr>
          <w:rFonts w:hint="eastAsia" w:ascii="仿宋" w:hAnsi="仿宋" w:eastAsia="仿宋"/>
          <w:sz w:val="28"/>
          <w:szCs w:val="28"/>
        </w:rPr>
        <w:t>我单位无其他需要说明的事项。</w:t>
      </w:r>
    </w:p>
    <w:p>
      <w:pPr>
        <w:spacing w:after="0" w:line="500" w:lineRule="exact"/>
        <w:rPr>
          <w:b/>
          <w:sz w:val="28"/>
          <w:szCs w:val="28"/>
        </w:rPr>
      </w:pPr>
      <w:r>
        <w:rPr>
          <w:rFonts w:hint="eastAsia"/>
          <w:b/>
          <w:sz w:val="28"/>
          <w:szCs w:val="28"/>
        </w:rPr>
        <w:t>第四部分 名词解释</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一、财政拨款收入：</w:t>
      </w:r>
      <w:r>
        <w:rPr>
          <w:rFonts w:hint="eastAsia" w:ascii="仿宋" w:hAnsi="仿宋" w:eastAsia="仿宋"/>
          <w:sz w:val="28"/>
          <w:szCs w:val="28"/>
        </w:rPr>
        <w:t>指单位从同级财政部门取得的财政预算资金。</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二、事业收入：</w:t>
      </w:r>
      <w:r>
        <w:rPr>
          <w:rFonts w:hint="eastAsia" w:ascii="仿宋" w:hAnsi="仿宋" w:eastAsia="仿宋"/>
          <w:sz w:val="28"/>
          <w:szCs w:val="28"/>
        </w:rPr>
        <w:t>指事业单位开展专业业务活动及辅助活动取得的收入。</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三、经营收入：</w:t>
      </w:r>
      <w:r>
        <w:rPr>
          <w:rFonts w:hint="eastAsia" w:ascii="仿宋" w:hAnsi="仿宋" w:eastAsia="仿宋"/>
          <w:sz w:val="28"/>
          <w:szCs w:val="28"/>
        </w:rPr>
        <w:t>指事业单位在专业业务活动及其辅助活动之外开展非独立核算经营活动取得的收入。</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四、其他收入：</w:t>
      </w:r>
      <w:r>
        <w:rPr>
          <w:rFonts w:hint="eastAsia" w:ascii="仿宋" w:hAnsi="仿宋" w:eastAsia="仿宋"/>
          <w:sz w:val="28"/>
          <w:szCs w:val="28"/>
        </w:rPr>
        <w:t>指单位取得的除上述收入以外的各项收入。主要是事业单位固定资产出租收入、存款利息收入等。</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五、使用非财政拨款结余：</w:t>
      </w:r>
      <w:r>
        <w:rPr>
          <w:rFonts w:hint="eastAsia" w:ascii="仿宋" w:hAnsi="仿宋" w:eastAsia="仿宋"/>
          <w:sz w:val="28"/>
          <w:szCs w:val="28"/>
        </w:rPr>
        <w:t>指事业单位使用以前年度积累的非财政拨款结余弥补当年收支差额的金额。</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六、年初结转和结余：</w:t>
      </w:r>
      <w:r>
        <w:rPr>
          <w:rFonts w:hint="eastAsia" w:ascii="仿宋" w:hAnsi="仿宋" w:eastAsia="仿宋"/>
          <w:sz w:val="28"/>
          <w:szCs w:val="28"/>
        </w:rPr>
        <w:t>指单位以前年度尚未完成、结转到本年仍按原规定用途继续使用的资金，或项目已完成等产生的结余资金。</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七、结余分配：</w:t>
      </w:r>
      <w:r>
        <w:rPr>
          <w:rFonts w:hint="eastAsia" w:ascii="仿宋" w:hAnsi="仿宋" w:eastAsia="仿宋"/>
          <w:sz w:val="28"/>
          <w:szCs w:val="28"/>
        </w:rPr>
        <w:t>指事业单位按照会计制度规定缴纳的所得税、提取的专用结余以及转入非财政拨款结余的金额等。</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八、年末结转和结余：</w:t>
      </w:r>
      <w:r>
        <w:rPr>
          <w:rFonts w:hint="eastAsia" w:ascii="仿宋" w:hAnsi="仿宋" w:eastAsia="仿宋"/>
          <w:sz w:val="28"/>
          <w:szCs w:val="28"/>
        </w:rPr>
        <w:t>指单位按有关规定结转到下年或以后年度继续使用的资金，或项目已完成等产生的结余资金。</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九、基本支出：</w:t>
      </w:r>
      <w:r>
        <w:rPr>
          <w:rFonts w:hint="eastAsia" w:ascii="仿宋" w:hAnsi="仿宋" w:eastAsia="仿宋"/>
          <w:sz w:val="28"/>
          <w:szCs w:val="28"/>
        </w:rPr>
        <w:t>指为保障机构正常运转、完成日常工作任务而发生的人员支出和公用支出。</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十、项目支出：</w:t>
      </w:r>
      <w:r>
        <w:rPr>
          <w:rFonts w:hint="eastAsia" w:ascii="仿宋" w:hAnsi="仿宋" w:eastAsia="仿宋"/>
          <w:sz w:val="28"/>
          <w:szCs w:val="28"/>
        </w:rPr>
        <w:t>指在基本支出之外为完成特定行政任务和事业发展目标所发生的支出。</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十一、“三公”经费：</w:t>
      </w:r>
      <w:r>
        <w:rPr>
          <w:rFonts w:hint="eastAsia" w:ascii="仿宋" w:hAnsi="仿宋" w:eastAsia="仿宋"/>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after="0" w:line="500" w:lineRule="exact"/>
        <w:ind w:firstLine="562" w:firstLineChars="200"/>
        <w:rPr>
          <w:rFonts w:ascii="仿宋" w:hAnsi="仿宋" w:eastAsia="仿宋"/>
          <w:sz w:val="28"/>
          <w:szCs w:val="28"/>
        </w:rPr>
      </w:pPr>
      <w:r>
        <w:rPr>
          <w:rFonts w:hint="eastAsia" w:ascii="仿宋" w:hAnsi="仿宋" w:eastAsia="仿宋"/>
          <w:b/>
          <w:sz w:val="28"/>
          <w:szCs w:val="28"/>
        </w:rPr>
        <w:t>十二、机关运行经费：</w:t>
      </w:r>
      <w:r>
        <w:rPr>
          <w:rFonts w:hint="eastAsia" w:ascii="仿宋" w:hAnsi="仿宋" w:eastAsia="仿宋"/>
          <w:sz w:val="28"/>
          <w:szCs w:val="28"/>
        </w:rPr>
        <w:t>指行政单位和参照公务员法管理的事业单位使用一般公共预算安排的基本支出中的日常公用经费支出。</w:t>
      </w:r>
    </w:p>
    <w:p>
      <w:pPr>
        <w:autoSpaceDE w:val="0"/>
        <w:autoSpaceDN w:val="0"/>
        <w:spacing w:after="0" w:line="500" w:lineRule="exact"/>
        <w:ind w:firstLine="562" w:firstLineChars="200"/>
        <w:rPr>
          <w:rFonts w:ascii="仿宋" w:hAnsi="仿宋" w:eastAsia="仿宋"/>
          <w:sz w:val="28"/>
          <w:szCs w:val="28"/>
        </w:rPr>
      </w:pPr>
      <w:r>
        <w:rPr>
          <w:rFonts w:hint="eastAsia" w:ascii="仿宋" w:hAnsi="仿宋" w:eastAsia="仿宋"/>
          <w:b/>
          <w:sz w:val="28"/>
          <w:szCs w:val="28"/>
        </w:rPr>
        <w:t>十三、政府购买服务：</w:t>
      </w:r>
      <w:r>
        <w:rPr>
          <w:rFonts w:hint="eastAsia" w:ascii="仿宋" w:hAnsi="仿宋" w:eastAsia="仿宋"/>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spacing w:after="0" w:line="500" w:lineRule="exact"/>
        <w:ind w:firstLine="562" w:firstLineChars="200"/>
        <w:rPr>
          <w:rFonts w:ascii="仿宋" w:hAnsi="仿宋" w:eastAsia="仿宋"/>
          <w:sz w:val="28"/>
          <w:szCs w:val="28"/>
        </w:rPr>
      </w:pPr>
      <w:r>
        <w:rPr>
          <w:rFonts w:hint="eastAsia" w:ascii="仿宋" w:hAnsi="仿宋" w:eastAsia="仿宋"/>
          <w:b/>
          <w:sz w:val="28"/>
          <w:szCs w:val="28"/>
        </w:rPr>
        <w:t>十四、</w:t>
      </w:r>
      <w:r>
        <w:rPr>
          <w:rFonts w:ascii="仿宋" w:hAnsi="仿宋" w:eastAsia="仿宋"/>
          <w:b/>
          <w:sz w:val="28"/>
          <w:szCs w:val="28"/>
        </w:rPr>
        <w:t>人员经费</w:t>
      </w:r>
      <w:r>
        <w:rPr>
          <w:rFonts w:hint="eastAsia" w:ascii="仿宋" w:hAnsi="仿宋" w:eastAsia="仿宋"/>
          <w:b/>
          <w:sz w:val="28"/>
          <w:szCs w:val="28"/>
        </w:rPr>
        <w:t>：</w:t>
      </w:r>
      <w:r>
        <w:rPr>
          <w:rFonts w:ascii="仿宋" w:hAnsi="仿宋" w:eastAsia="仿宋"/>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spacing w:after="0" w:line="500" w:lineRule="exact"/>
        <w:ind w:firstLine="562" w:firstLineChars="200"/>
        <w:rPr>
          <w:rFonts w:ascii="仿宋" w:hAnsi="仿宋" w:eastAsia="仿宋"/>
          <w:sz w:val="28"/>
          <w:szCs w:val="28"/>
        </w:rPr>
      </w:pPr>
      <w:r>
        <w:rPr>
          <w:rFonts w:hint="eastAsia" w:ascii="仿宋" w:hAnsi="仿宋" w:eastAsia="仿宋"/>
          <w:b/>
          <w:sz w:val="28"/>
          <w:szCs w:val="28"/>
        </w:rPr>
        <w:t>十五、</w:t>
      </w:r>
      <w:r>
        <w:rPr>
          <w:rFonts w:ascii="仿宋" w:hAnsi="仿宋" w:eastAsia="仿宋"/>
          <w:b/>
          <w:sz w:val="28"/>
          <w:szCs w:val="28"/>
        </w:rPr>
        <w:t>公用经费</w:t>
      </w:r>
      <w:r>
        <w:rPr>
          <w:rFonts w:hint="eastAsia" w:ascii="仿宋" w:hAnsi="仿宋" w:eastAsia="仿宋"/>
          <w:b/>
          <w:sz w:val="28"/>
          <w:szCs w:val="28"/>
        </w:rPr>
        <w:t>：</w:t>
      </w:r>
      <w:r>
        <w:rPr>
          <w:rFonts w:ascii="仿宋" w:hAnsi="仿宋" w:eastAsia="仿宋"/>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after="0" w:line="500" w:lineRule="exact"/>
        <w:rPr>
          <w:rFonts w:ascii="仿宋" w:hAnsi="仿宋" w:eastAsia="仿宋"/>
          <w:sz w:val="28"/>
          <w:szCs w:val="28"/>
        </w:rPr>
      </w:pPr>
      <w:r>
        <w:rPr>
          <w:rFonts w:hint="eastAsia" w:ascii="仿宋" w:hAnsi="仿宋" w:eastAsia="仿宋"/>
          <w:b/>
          <w:sz w:val="28"/>
          <w:szCs w:val="28"/>
        </w:rPr>
        <w:t>第五部分 附件</w:t>
      </w:r>
      <w:r>
        <w:rPr>
          <w:rFonts w:hint="eastAsia" w:ascii="仿宋" w:hAnsi="仿宋" w:eastAsia="仿宋"/>
          <w:sz w:val="28"/>
          <w:szCs w:val="28"/>
        </w:rPr>
        <w:t xml:space="preserve"> </w:t>
      </w:r>
    </w:p>
    <w:p>
      <w:pPr>
        <w:spacing w:after="0" w:line="500" w:lineRule="exact"/>
        <w:rPr>
          <w:rFonts w:ascii="仿宋" w:hAnsi="仿宋" w:eastAsia="仿宋"/>
          <w:sz w:val="28"/>
          <w:szCs w:val="28"/>
        </w:rPr>
        <w:sectPr>
          <w:pgSz w:w="11906" w:h="16838"/>
          <w:pgMar w:top="1440" w:right="1800" w:bottom="1440" w:left="1800" w:header="708" w:footer="708" w:gutter="0"/>
          <w:pgNumType w:start="1"/>
          <w:cols w:space="708" w:num="1"/>
          <w:docGrid w:linePitch="360" w:charSpace="0"/>
        </w:sectPr>
      </w:pPr>
      <w:r>
        <w:rPr>
          <w:rFonts w:hint="eastAsia" w:ascii="仿宋" w:hAnsi="仿宋" w:eastAsia="仿宋"/>
          <w:sz w:val="28"/>
          <w:szCs w:val="28"/>
        </w:rPr>
        <w:t xml:space="preserve">      我单位2021年度没有其他需要说明的事项。</w:t>
      </w:r>
    </w:p>
    <w:p>
      <w:pPr>
        <w:spacing w:after="0" w:line="500" w:lineRule="exact"/>
        <w:rPr>
          <w:rFonts w:ascii="仿宋" w:hAnsi="仿宋" w:eastAsia="仿宋"/>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TkzYTgwYzY3MzQ5YTNmNzJiYjViODU1MjY5N2I0NzYifQ=="/>
  </w:docVars>
  <w:rsids>
    <w:rsidRoot w:val="00D31D50"/>
    <w:rsid w:val="00000379"/>
    <w:rsid w:val="000034DB"/>
    <w:rsid w:val="00015092"/>
    <w:rsid w:val="000525EB"/>
    <w:rsid w:val="0005715E"/>
    <w:rsid w:val="00062B96"/>
    <w:rsid w:val="00065A92"/>
    <w:rsid w:val="000A5B5D"/>
    <w:rsid w:val="000B4C5F"/>
    <w:rsid w:val="000B6182"/>
    <w:rsid w:val="000C4302"/>
    <w:rsid w:val="000C6962"/>
    <w:rsid w:val="000D30E1"/>
    <w:rsid w:val="000D7F2D"/>
    <w:rsid w:val="00102943"/>
    <w:rsid w:val="00106B2D"/>
    <w:rsid w:val="00112EF7"/>
    <w:rsid w:val="001151FD"/>
    <w:rsid w:val="00116783"/>
    <w:rsid w:val="00130F93"/>
    <w:rsid w:val="0013742F"/>
    <w:rsid w:val="00137AEF"/>
    <w:rsid w:val="0014259E"/>
    <w:rsid w:val="00150E25"/>
    <w:rsid w:val="00161790"/>
    <w:rsid w:val="001625CD"/>
    <w:rsid w:val="00163E85"/>
    <w:rsid w:val="00180459"/>
    <w:rsid w:val="00182E6D"/>
    <w:rsid w:val="001A555A"/>
    <w:rsid w:val="001B3F11"/>
    <w:rsid w:val="001B474E"/>
    <w:rsid w:val="001B4B3F"/>
    <w:rsid w:val="001C6A5B"/>
    <w:rsid w:val="001D282C"/>
    <w:rsid w:val="001F1415"/>
    <w:rsid w:val="001F6417"/>
    <w:rsid w:val="00203486"/>
    <w:rsid w:val="0022359D"/>
    <w:rsid w:val="00227B50"/>
    <w:rsid w:val="00234B1B"/>
    <w:rsid w:val="00235589"/>
    <w:rsid w:val="002464FD"/>
    <w:rsid w:val="00250955"/>
    <w:rsid w:val="00257132"/>
    <w:rsid w:val="00261980"/>
    <w:rsid w:val="0027777C"/>
    <w:rsid w:val="00280E08"/>
    <w:rsid w:val="002B5A91"/>
    <w:rsid w:val="002C1613"/>
    <w:rsid w:val="002D4B07"/>
    <w:rsid w:val="002F46EC"/>
    <w:rsid w:val="002F7C48"/>
    <w:rsid w:val="00310759"/>
    <w:rsid w:val="00323B43"/>
    <w:rsid w:val="0032692D"/>
    <w:rsid w:val="00331879"/>
    <w:rsid w:val="003328F6"/>
    <w:rsid w:val="0034404C"/>
    <w:rsid w:val="00345A54"/>
    <w:rsid w:val="00346E9C"/>
    <w:rsid w:val="0034710F"/>
    <w:rsid w:val="003567F3"/>
    <w:rsid w:val="00375439"/>
    <w:rsid w:val="003873FB"/>
    <w:rsid w:val="00391C06"/>
    <w:rsid w:val="003966F5"/>
    <w:rsid w:val="003A3622"/>
    <w:rsid w:val="003B55EA"/>
    <w:rsid w:val="003B706B"/>
    <w:rsid w:val="003D37D8"/>
    <w:rsid w:val="003D480B"/>
    <w:rsid w:val="003E0F00"/>
    <w:rsid w:val="003E27ED"/>
    <w:rsid w:val="003E6CA8"/>
    <w:rsid w:val="003F3218"/>
    <w:rsid w:val="003F66C6"/>
    <w:rsid w:val="00402CD9"/>
    <w:rsid w:val="004044B4"/>
    <w:rsid w:val="00406CA7"/>
    <w:rsid w:val="004129E8"/>
    <w:rsid w:val="00413DEB"/>
    <w:rsid w:val="004207FB"/>
    <w:rsid w:val="00424FEA"/>
    <w:rsid w:val="00426133"/>
    <w:rsid w:val="004335E2"/>
    <w:rsid w:val="00433651"/>
    <w:rsid w:val="004358AB"/>
    <w:rsid w:val="00440B36"/>
    <w:rsid w:val="004474A0"/>
    <w:rsid w:val="00474F3A"/>
    <w:rsid w:val="00481E35"/>
    <w:rsid w:val="00481E91"/>
    <w:rsid w:val="00494C3D"/>
    <w:rsid w:val="004B1117"/>
    <w:rsid w:val="004B2FD8"/>
    <w:rsid w:val="004C1EAA"/>
    <w:rsid w:val="004F2386"/>
    <w:rsid w:val="004F3BD3"/>
    <w:rsid w:val="005001B0"/>
    <w:rsid w:val="00514919"/>
    <w:rsid w:val="00514A0B"/>
    <w:rsid w:val="00524624"/>
    <w:rsid w:val="00527417"/>
    <w:rsid w:val="00534286"/>
    <w:rsid w:val="00536846"/>
    <w:rsid w:val="00586AAF"/>
    <w:rsid w:val="00587E89"/>
    <w:rsid w:val="005A1C9A"/>
    <w:rsid w:val="005A6CFC"/>
    <w:rsid w:val="005C22C7"/>
    <w:rsid w:val="005D49F3"/>
    <w:rsid w:val="005D70F8"/>
    <w:rsid w:val="005E1219"/>
    <w:rsid w:val="005E4446"/>
    <w:rsid w:val="005F5CEF"/>
    <w:rsid w:val="005F7A3E"/>
    <w:rsid w:val="0060630C"/>
    <w:rsid w:val="00611406"/>
    <w:rsid w:val="006138A3"/>
    <w:rsid w:val="0062212D"/>
    <w:rsid w:val="00626F0F"/>
    <w:rsid w:val="00632EB9"/>
    <w:rsid w:val="00642893"/>
    <w:rsid w:val="00643B1A"/>
    <w:rsid w:val="0067233E"/>
    <w:rsid w:val="006771DA"/>
    <w:rsid w:val="00680CCC"/>
    <w:rsid w:val="006A2985"/>
    <w:rsid w:val="006A5741"/>
    <w:rsid w:val="006B5051"/>
    <w:rsid w:val="006C6B8A"/>
    <w:rsid w:val="006D1676"/>
    <w:rsid w:val="006D1A65"/>
    <w:rsid w:val="006D41CB"/>
    <w:rsid w:val="006D641F"/>
    <w:rsid w:val="006E4ED2"/>
    <w:rsid w:val="006F0A9E"/>
    <w:rsid w:val="00704A94"/>
    <w:rsid w:val="007144CD"/>
    <w:rsid w:val="00727542"/>
    <w:rsid w:val="007313E8"/>
    <w:rsid w:val="007328A4"/>
    <w:rsid w:val="00734C60"/>
    <w:rsid w:val="00742890"/>
    <w:rsid w:val="00757151"/>
    <w:rsid w:val="0075797C"/>
    <w:rsid w:val="00760958"/>
    <w:rsid w:val="00764C97"/>
    <w:rsid w:val="00771F34"/>
    <w:rsid w:val="00773998"/>
    <w:rsid w:val="007766E1"/>
    <w:rsid w:val="007816A0"/>
    <w:rsid w:val="00785AD9"/>
    <w:rsid w:val="007917B1"/>
    <w:rsid w:val="007919C3"/>
    <w:rsid w:val="007A3408"/>
    <w:rsid w:val="007C53C5"/>
    <w:rsid w:val="007D3A76"/>
    <w:rsid w:val="00802B59"/>
    <w:rsid w:val="00821A54"/>
    <w:rsid w:val="008453E4"/>
    <w:rsid w:val="00852756"/>
    <w:rsid w:val="008536B8"/>
    <w:rsid w:val="008563AB"/>
    <w:rsid w:val="00857C8B"/>
    <w:rsid w:val="008640E7"/>
    <w:rsid w:val="008719F7"/>
    <w:rsid w:val="008766E2"/>
    <w:rsid w:val="008806F0"/>
    <w:rsid w:val="00886BEC"/>
    <w:rsid w:val="00890813"/>
    <w:rsid w:val="008B1AAA"/>
    <w:rsid w:val="008B2227"/>
    <w:rsid w:val="008B3A2F"/>
    <w:rsid w:val="008B7726"/>
    <w:rsid w:val="008C2D1B"/>
    <w:rsid w:val="008C3D62"/>
    <w:rsid w:val="008C4AC1"/>
    <w:rsid w:val="008D288F"/>
    <w:rsid w:val="008E7165"/>
    <w:rsid w:val="008F19A4"/>
    <w:rsid w:val="008F27AF"/>
    <w:rsid w:val="00914AA8"/>
    <w:rsid w:val="0092060B"/>
    <w:rsid w:val="00922A35"/>
    <w:rsid w:val="00923249"/>
    <w:rsid w:val="009237FD"/>
    <w:rsid w:val="009308A6"/>
    <w:rsid w:val="0094255C"/>
    <w:rsid w:val="00943B0A"/>
    <w:rsid w:val="00956F16"/>
    <w:rsid w:val="0096078A"/>
    <w:rsid w:val="009669AE"/>
    <w:rsid w:val="0097038A"/>
    <w:rsid w:val="00980BC7"/>
    <w:rsid w:val="009822A5"/>
    <w:rsid w:val="00983DF4"/>
    <w:rsid w:val="0099495E"/>
    <w:rsid w:val="009A533E"/>
    <w:rsid w:val="009A5671"/>
    <w:rsid w:val="009A6452"/>
    <w:rsid w:val="009B481B"/>
    <w:rsid w:val="009C4F82"/>
    <w:rsid w:val="009C4FC5"/>
    <w:rsid w:val="009C67FA"/>
    <w:rsid w:val="009D6C64"/>
    <w:rsid w:val="009E0A84"/>
    <w:rsid w:val="00A2749C"/>
    <w:rsid w:val="00A37381"/>
    <w:rsid w:val="00A46367"/>
    <w:rsid w:val="00A61F02"/>
    <w:rsid w:val="00A61FAF"/>
    <w:rsid w:val="00A62420"/>
    <w:rsid w:val="00A73E29"/>
    <w:rsid w:val="00A74196"/>
    <w:rsid w:val="00A76713"/>
    <w:rsid w:val="00A805E2"/>
    <w:rsid w:val="00A86E94"/>
    <w:rsid w:val="00AA22A7"/>
    <w:rsid w:val="00AD7358"/>
    <w:rsid w:val="00AD7F7B"/>
    <w:rsid w:val="00AE1E0B"/>
    <w:rsid w:val="00AF1714"/>
    <w:rsid w:val="00AF73B7"/>
    <w:rsid w:val="00B05C60"/>
    <w:rsid w:val="00B11481"/>
    <w:rsid w:val="00B24AE1"/>
    <w:rsid w:val="00B4318A"/>
    <w:rsid w:val="00B564B9"/>
    <w:rsid w:val="00B566F4"/>
    <w:rsid w:val="00B709BB"/>
    <w:rsid w:val="00B81AA3"/>
    <w:rsid w:val="00B87AD6"/>
    <w:rsid w:val="00B945EF"/>
    <w:rsid w:val="00B96867"/>
    <w:rsid w:val="00B969B8"/>
    <w:rsid w:val="00BB0DDB"/>
    <w:rsid w:val="00BD3FF2"/>
    <w:rsid w:val="00BE7EBF"/>
    <w:rsid w:val="00C03799"/>
    <w:rsid w:val="00C11733"/>
    <w:rsid w:val="00C12E0D"/>
    <w:rsid w:val="00C3223F"/>
    <w:rsid w:val="00C3277B"/>
    <w:rsid w:val="00C440E2"/>
    <w:rsid w:val="00C46175"/>
    <w:rsid w:val="00C52272"/>
    <w:rsid w:val="00C80155"/>
    <w:rsid w:val="00C84221"/>
    <w:rsid w:val="00C858AD"/>
    <w:rsid w:val="00C85A8F"/>
    <w:rsid w:val="00CA1335"/>
    <w:rsid w:val="00CA7839"/>
    <w:rsid w:val="00CB1D3E"/>
    <w:rsid w:val="00CB6F81"/>
    <w:rsid w:val="00CC2B03"/>
    <w:rsid w:val="00CC5009"/>
    <w:rsid w:val="00CC6558"/>
    <w:rsid w:val="00CD2A9F"/>
    <w:rsid w:val="00CD31E3"/>
    <w:rsid w:val="00CD5ED3"/>
    <w:rsid w:val="00CD6553"/>
    <w:rsid w:val="00CF06C3"/>
    <w:rsid w:val="00CF2B1A"/>
    <w:rsid w:val="00CF497D"/>
    <w:rsid w:val="00CF6512"/>
    <w:rsid w:val="00CF7806"/>
    <w:rsid w:val="00D13827"/>
    <w:rsid w:val="00D145BE"/>
    <w:rsid w:val="00D21D99"/>
    <w:rsid w:val="00D30C9F"/>
    <w:rsid w:val="00D31D50"/>
    <w:rsid w:val="00D31FFE"/>
    <w:rsid w:val="00D4744B"/>
    <w:rsid w:val="00D4751A"/>
    <w:rsid w:val="00D65D54"/>
    <w:rsid w:val="00D66093"/>
    <w:rsid w:val="00D6655E"/>
    <w:rsid w:val="00D67621"/>
    <w:rsid w:val="00D70DBD"/>
    <w:rsid w:val="00D71FA2"/>
    <w:rsid w:val="00D8076B"/>
    <w:rsid w:val="00DA0AA1"/>
    <w:rsid w:val="00DA0E62"/>
    <w:rsid w:val="00DB2286"/>
    <w:rsid w:val="00DC2F17"/>
    <w:rsid w:val="00DC4049"/>
    <w:rsid w:val="00DE22DB"/>
    <w:rsid w:val="00DF7E48"/>
    <w:rsid w:val="00E173C3"/>
    <w:rsid w:val="00E2388E"/>
    <w:rsid w:val="00E27FD5"/>
    <w:rsid w:val="00E34FA3"/>
    <w:rsid w:val="00E362CB"/>
    <w:rsid w:val="00E718DE"/>
    <w:rsid w:val="00E72552"/>
    <w:rsid w:val="00E751B6"/>
    <w:rsid w:val="00E75761"/>
    <w:rsid w:val="00E91FC9"/>
    <w:rsid w:val="00E92F6D"/>
    <w:rsid w:val="00EC3B89"/>
    <w:rsid w:val="00EC6A3F"/>
    <w:rsid w:val="00ED002D"/>
    <w:rsid w:val="00EE044E"/>
    <w:rsid w:val="00EE2552"/>
    <w:rsid w:val="00EF6880"/>
    <w:rsid w:val="00F03A02"/>
    <w:rsid w:val="00F30906"/>
    <w:rsid w:val="00F3245B"/>
    <w:rsid w:val="00F401F2"/>
    <w:rsid w:val="00F41066"/>
    <w:rsid w:val="00F4231D"/>
    <w:rsid w:val="00F646A3"/>
    <w:rsid w:val="00F674D7"/>
    <w:rsid w:val="00F71161"/>
    <w:rsid w:val="00F8200D"/>
    <w:rsid w:val="00F90000"/>
    <w:rsid w:val="00FA0D4A"/>
    <w:rsid w:val="00FA1B0A"/>
    <w:rsid w:val="00FA3F9F"/>
    <w:rsid w:val="00FA7F7A"/>
    <w:rsid w:val="00FB11DD"/>
    <w:rsid w:val="00FB137F"/>
    <w:rsid w:val="00FC472E"/>
    <w:rsid w:val="00FC523D"/>
    <w:rsid w:val="00FD26CE"/>
    <w:rsid w:val="00FE1842"/>
    <w:rsid w:val="00FE3D82"/>
    <w:rsid w:val="00FE6260"/>
    <w:rsid w:val="00FF0AC6"/>
    <w:rsid w:val="00FF39E1"/>
    <w:rsid w:val="00FF597A"/>
    <w:rsid w:val="00FF740D"/>
    <w:rsid w:val="4643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9"/>
    <w:unhideWhenUsed/>
    <w:qFormat/>
    <w:uiPriority w:val="9"/>
    <w:pPr>
      <w:keepNext/>
      <w:keepLines/>
      <w:widowControl w:val="0"/>
      <w:adjustRightInd/>
      <w:snapToGrid/>
      <w:spacing w:before="260" w:after="260" w:line="416" w:lineRule="auto"/>
      <w:jc w:val="both"/>
      <w:outlineLvl w:val="1"/>
    </w:pPr>
    <w:rPr>
      <w:rFonts w:asciiTheme="majorHAnsi" w:hAnsiTheme="majorHAnsi" w:eastAsiaTheme="majorEastAsia" w:cstheme="majorBidi"/>
      <w:b/>
      <w:bCs/>
      <w:kern w:val="2"/>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标题 2 Char"/>
    <w:basedOn w:val="6"/>
    <w:link w:val="2"/>
    <w:uiPriority w:val="9"/>
    <w:rPr>
      <w:rFonts w:asciiTheme="majorHAnsi" w:hAnsiTheme="majorHAnsi" w:eastAsiaTheme="majorEastAsia" w:cstheme="majorBidi"/>
      <w:b/>
      <w:bCs/>
      <w:kern w:val="2"/>
      <w:sz w:val="32"/>
      <w:szCs w:val="32"/>
    </w:rPr>
  </w:style>
  <w:style w:type="character" w:customStyle="1" w:styleId="10">
    <w:name w:val="闻政标题4 Char"/>
    <w:link w:val="11"/>
    <w:qFormat/>
    <w:uiPriority w:val="0"/>
    <w:rPr>
      <w:rFonts w:ascii="Times New Roman" w:hAnsi="Times New Roman" w:eastAsia="仿宋_GB2312"/>
      <w:b/>
      <w:bCs/>
      <w:sz w:val="28"/>
      <w:szCs w:val="32"/>
    </w:rPr>
  </w:style>
  <w:style w:type="paragraph" w:customStyle="1" w:styleId="11">
    <w:name w:val="闻政标题4"/>
    <w:basedOn w:val="2"/>
    <w:link w:val="10"/>
    <w:qFormat/>
    <w:uiPriority w:val="0"/>
    <w:pPr>
      <w:spacing w:before="120" w:after="60" w:line="500" w:lineRule="exact"/>
      <w:ind w:firstLine="200" w:firstLineChars="200"/>
      <w:jc w:val="left"/>
    </w:pPr>
    <w:rPr>
      <w:rFonts w:ascii="Times New Roman" w:hAnsi="Times New Roman" w:eastAsia="仿宋_GB2312" w:cs="Times New Roman"/>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8BFA9F-75EC-4CF8-BFAB-6803FADC81E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9671</Words>
  <Characters>11230</Characters>
  <Lines>86</Lines>
  <Paragraphs>24</Paragraphs>
  <TotalTime>1211</TotalTime>
  <ScaleCrop>false</ScaleCrop>
  <LinksUpToDate>false</LinksUpToDate>
  <CharactersWithSpaces>11456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2023-05-12T07:54:08Z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24FF01B7E13D4C66A158DEE478566BEA_12</vt:lpwstr>
  </property>
</Properties>
</file>