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pPr>
      <w:r>
        <w:rPr>
          <w:rFonts w:hint="eastAsia"/>
        </w:rPr>
        <w:t>附件</w:t>
      </w:r>
    </w:p>
    <w:p>
      <w:pPr>
        <w:spacing w:line="220" w:lineRule="atLeast"/>
        <w:jc w:val="center"/>
      </w:pPr>
      <w:r>
        <w:rPr>
          <w:rFonts w:hint="eastAsia"/>
          <w:b/>
          <w:sz w:val="32"/>
          <w:szCs w:val="32"/>
        </w:rPr>
        <w:t>707平顺县红十字会2021年度部门决算公开</w:t>
      </w:r>
    </w:p>
    <w:p>
      <w:pPr>
        <w:spacing w:line="220" w:lineRule="atLeast"/>
        <w:jc w:val="center"/>
        <w:rPr>
          <w:b/>
        </w:rPr>
      </w:pPr>
      <w:r>
        <w:rPr>
          <w:rFonts w:hint="eastAsia"/>
          <w:b/>
        </w:rPr>
        <w:t>目      录</w:t>
      </w:r>
    </w:p>
    <w:p>
      <w:pPr>
        <w:spacing w:line="220" w:lineRule="atLeast"/>
        <w:rPr>
          <w:b/>
          <w:sz w:val="28"/>
          <w:szCs w:val="28"/>
        </w:rPr>
      </w:pPr>
      <w:r>
        <w:rPr>
          <w:rFonts w:hint="eastAsia"/>
          <w:b/>
          <w:sz w:val="28"/>
          <w:szCs w:val="28"/>
        </w:rPr>
        <w:t>第一部分    概况</w:t>
      </w:r>
    </w:p>
    <w:p>
      <w:pPr>
        <w:spacing w:line="220" w:lineRule="atLeast"/>
        <w:rPr>
          <w:sz w:val="28"/>
          <w:szCs w:val="28"/>
        </w:rPr>
      </w:pPr>
      <w:r>
        <w:rPr>
          <w:rFonts w:hint="eastAsia"/>
          <w:sz w:val="28"/>
          <w:szCs w:val="28"/>
        </w:rPr>
        <w:t>一、本部门职责</w:t>
      </w:r>
    </w:p>
    <w:p>
      <w:pPr>
        <w:spacing w:line="220" w:lineRule="atLeast"/>
        <w:rPr>
          <w:sz w:val="28"/>
          <w:szCs w:val="28"/>
        </w:rPr>
      </w:pPr>
      <w:r>
        <w:rPr>
          <w:rFonts w:hint="eastAsia"/>
          <w:sz w:val="28"/>
          <w:szCs w:val="28"/>
        </w:rPr>
        <w:t>二、机构设置情况</w:t>
      </w:r>
    </w:p>
    <w:p>
      <w:pPr>
        <w:spacing w:line="220" w:lineRule="atLeast"/>
        <w:rPr>
          <w:sz w:val="28"/>
          <w:szCs w:val="28"/>
        </w:rPr>
      </w:pPr>
      <w:r>
        <w:rPr>
          <w:rFonts w:hint="eastAsia"/>
          <w:sz w:val="28"/>
          <w:szCs w:val="28"/>
        </w:rPr>
        <w:t>三、年度工作计划及执行情况</w:t>
      </w:r>
    </w:p>
    <w:p>
      <w:pPr>
        <w:spacing w:line="220" w:lineRule="atLeast"/>
        <w:rPr>
          <w:b/>
          <w:sz w:val="28"/>
          <w:szCs w:val="28"/>
        </w:rPr>
      </w:pPr>
      <w:r>
        <w:rPr>
          <w:rFonts w:hint="eastAsia"/>
          <w:b/>
          <w:sz w:val="28"/>
          <w:szCs w:val="28"/>
        </w:rPr>
        <w:t>第二部分    2021年度部门决算报表</w:t>
      </w:r>
    </w:p>
    <w:p>
      <w:pPr>
        <w:spacing w:line="220" w:lineRule="atLeast"/>
        <w:rPr>
          <w:sz w:val="28"/>
          <w:szCs w:val="28"/>
        </w:rPr>
      </w:pPr>
      <w:r>
        <w:rPr>
          <w:rFonts w:hint="eastAsia"/>
          <w:sz w:val="28"/>
          <w:szCs w:val="28"/>
        </w:rPr>
        <w:t>一、收入支出决算总表</w:t>
      </w:r>
    </w:p>
    <w:p>
      <w:pPr>
        <w:spacing w:line="220" w:lineRule="atLeast"/>
        <w:rPr>
          <w:sz w:val="28"/>
          <w:szCs w:val="28"/>
        </w:rPr>
      </w:pPr>
      <w:r>
        <w:rPr>
          <w:rFonts w:hint="eastAsia"/>
          <w:sz w:val="28"/>
          <w:szCs w:val="28"/>
        </w:rPr>
        <w:t>二、收入决算表</w:t>
      </w:r>
    </w:p>
    <w:p>
      <w:pPr>
        <w:spacing w:line="220" w:lineRule="atLeast"/>
        <w:rPr>
          <w:sz w:val="28"/>
          <w:szCs w:val="28"/>
        </w:rPr>
      </w:pPr>
      <w:r>
        <w:rPr>
          <w:rFonts w:hint="eastAsia"/>
          <w:sz w:val="28"/>
          <w:szCs w:val="28"/>
        </w:rPr>
        <w:t>三、支出决算表</w:t>
      </w:r>
    </w:p>
    <w:p>
      <w:pPr>
        <w:spacing w:line="220" w:lineRule="atLeast"/>
        <w:rPr>
          <w:sz w:val="28"/>
          <w:szCs w:val="28"/>
        </w:rPr>
      </w:pPr>
      <w:r>
        <w:rPr>
          <w:rFonts w:hint="eastAsia"/>
          <w:sz w:val="28"/>
          <w:szCs w:val="28"/>
        </w:rPr>
        <w:t>四、财政拨款收入支出决算总表</w:t>
      </w:r>
    </w:p>
    <w:p>
      <w:pPr>
        <w:spacing w:line="220" w:lineRule="atLeast"/>
        <w:rPr>
          <w:sz w:val="28"/>
          <w:szCs w:val="28"/>
        </w:rPr>
      </w:pPr>
      <w:r>
        <w:rPr>
          <w:rFonts w:hint="eastAsia"/>
          <w:sz w:val="28"/>
          <w:szCs w:val="28"/>
        </w:rPr>
        <w:t>五、一般公共预算财政拨款支出决算表（一）</w:t>
      </w:r>
    </w:p>
    <w:p>
      <w:pPr>
        <w:spacing w:line="220" w:lineRule="atLeast"/>
        <w:rPr>
          <w:sz w:val="28"/>
          <w:szCs w:val="28"/>
        </w:rPr>
      </w:pPr>
      <w:r>
        <w:rPr>
          <w:rFonts w:hint="eastAsia"/>
          <w:sz w:val="28"/>
          <w:szCs w:val="28"/>
        </w:rPr>
        <w:t>六、一般公共预算财政拨款支出决算表（二）</w:t>
      </w:r>
    </w:p>
    <w:p>
      <w:pPr>
        <w:spacing w:line="220" w:lineRule="atLeast"/>
        <w:rPr>
          <w:sz w:val="28"/>
          <w:szCs w:val="28"/>
        </w:rPr>
      </w:pPr>
      <w:r>
        <w:rPr>
          <w:rFonts w:hint="eastAsia"/>
          <w:sz w:val="28"/>
          <w:szCs w:val="28"/>
        </w:rPr>
        <w:t>七、一般公共预算财政拨款“三公”经费支出决算表</w:t>
      </w:r>
    </w:p>
    <w:p>
      <w:pPr>
        <w:spacing w:line="220" w:lineRule="atLeast"/>
        <w:rPr>
          <w:sz w:val="28"/>
          <w:szCs w:val="28"/>
        </w:rPr>
      </w:pPr>
      <w:r>
        <w:rPr>
          <w:rFonts w:hint="eastAsia"/>
          <w:sz w:val="28"/>
          <w:szCs w:val="28"/>
        </w:rPr>
        <w:t>八、政府性基金预算财政拨款收入支出决算表</w:t>
      </w:r>
    </w:p>
    <w:p>
      <w:pPr>
        <w:spacing w:line="220" w:lineRule="atLeast"/>
        <w:rPr>
          <w:sz w:val="28"/>
          <w:szCs w:val="28"/>
        </w:rPr>
      </w:pPr>
      <w:r>
        <w:rPr>
          <w:rFonts w:hint="eastAsia"/>
          <w:sz w:val="28"/>
          <w:szCs w:val="28"/>
        </w:rPr>
        <w:t>九、国有资本经营预算财政拨款支出决算表</w:t>
      </w:r>
    </w:p>
    <w:p>
      <w:pPr>
        <w:spacing w:line="220" w:lineRule="atLeast"/>
        <w:rPr>
          <w:rFonts w:hint="eastAsia"/>
          <w:sz w:val="28"/>
          <w:szCs w:val="28"/>
        </w:rPr>
      </w:pPr>
      <w:r>
        <w:rPr>
          <w:rFonts w:hint="eastAsia"/>
          <w:sz w:val="28"/>
          <w:szCs w:val="28"/>
        </w:rPr>
        <w:t>十、部门决算公开相关信息统计表</w:t>
      </w:r>
    </w:p>
    <w:p>
      <w:pPr>
        <w:spacing w:line="220" w:lineRule="atLeast"/>
        <w:rPr>
          <w:b/>
          <w:sz w:val="28"/>
          <w:szCs w:val="28"/>
        </w:rPr>
      </w:pPr>
      <w:r>
        <w:rPr>
          <w:rFonts w:hint="eastAsia"/>
          <w:b/>
          <w:sz w:val="28"/>
          <w:szCs w:val="28"/>
        </w:rPr>
        <w:t>第三部分   2021年度部门决算情况说明</w:t>
      </w:r>
    </w:p>
    <w:p>
      <w:pPr>
        <w:spacing w:line="220" w:lineRule="atLeast"/>
        <w:rPr>
          <w:sz w:val="28"/>
          <w:szCs w:val="28"/>
        </w:rPr>
      </w:pPr>
      <w:r>
        <w:rPr>
          <w:rFonts w:hint="eastAsia"/>
          <w:sz w:val="28"/>
          <w:szCs w:val="28"/>
        </w:rPr>
        <w:t>一、收入支出决算总体情况说明</w:t>
      </w:r>
    </w:p>
    <w:p>
      <w:pPr>
        <w:spacing w:line="220" w:lineRule="atLeast"/>
        <w:rPr>
          <w:sz w:val="28"/>
          <w:szCs w:val="28"/>
        </w:rPr>
      </w:pPr>
      <w:r>
        <w:rPr>
          <w:rFonts w:hint="eastAsia"/>
          <w:sz w:val="28"/>
          <w:szCs w:val="28"/>
        </w:rPr>
        <w:t>二、收入决算情况说明</w:t>
      </w:r>
    </w:p>
    <w:p>
      <w:pPr>
        <w:spacing w:line="220" w:lineRule="atLeast"/>
        <w:rPr>
          <w:sz w:val="28"/>
          <w:szCs w:val="28"/>
        </w:rPr>
      </w:pPr>
      <w:r>
        <w:rPr>
          <w:rFonts w:hint="eastAsia"/>
          <w:sz w:val="28"/>
          <w:szCs w:val="28"/>
        </w:rPr>
        <w:t>三、支出决算情况说明</w:t>
      </w:r>
    </w:p>
    <w:p>
      <w:pPr>
        <w:spacing w:line="220" w:lineRule="atLeast"/>
        <w:rPr>
          <w:sz w:val="28"/>
          <w:szCs w:val="28"/>
        </w:rPr>
      </w:pPr>
      <w:r>
        <w:rPr>
          <w:rFonts w:hint="eastAsia"/>
          <w:sz w:val="28"/>
          <w:szCs w:val="28"/>
        </w:rPr>
        <w:t>四、财政拨款收入支出决算总体情况说明</w:t>
      </w:r>
    </w:p>
    <w:p>
      <w:pPr>
        <w:spacing w:line="220" w:lineRule="atLeast"/>
        <w:rPr>
          <w:sz w:val="28"/>
          <w:szCs w:val="28"/>
        </w:rPr>
      </w:pPr>
      <w:r>
        <w:rPr>
          <w:rFonts w:hint="eastAsia"/>
          <w:sz w:val="28"/>
          <w:szCs w:val="28"/>
        </w:rPr>
        <w:t>五、一般公共预算财政拨款支出决算情况说明</w:t>
      </w:r>
    </w:p>
    <w:p>
      <w:pPr>
        <w:spacing w:line="220" w:lineRule="atLeast"/>
        <w:rPr>
          <w:sz w:val="28"/>
          <w:szCs w:val="28"/>
        </w:rPr>
      </w:pPr>
      <w:r>
        <w:rPr>
          <w:rFonts w:hint="eastAsia"/>
          <w:sz w:val="28"/>
          <w:szCs w:val="28"/>
        </w:rPr>
        <w:t>六、一般公共预算财政拨款基本支出决算情况说明</w:t>
      </w:r>
    </w:p>
    <w:p>
      <w:pPr>
        <w:spacing w:line="220" w:lineRule="atLeast"/>
        <w:rPr>
          <w:sz w:val="28"/>
          <w:szCs w:val="28"/>
        </w:rPr>
      </w:pPr>
      <w:r>
        <w:rPr>
          <w:rFonts w:hint="eastAsia"/>
          <w:sz w:val="28"/>
          <w:szCs w:val="28"/>
        </w:rPr>
        <w:t>七、一般公共预算财政拨款“三公”经费支出决算情况说明</w:t>
      </w:r>
    </w:p>
    <w:p>
      <w:pPr>
        <w:spacing w:line="220" w:lineRule="atLeast"/>
        <w:rPr>
          <w:sz w:val="28"/>
          <w:szCs w:val="28"/>
        </w:rPr>
      </w:pPr>
      <w:r>
        <w:rPr>
          <w:rFonts w:hint="eastAsia"/>
          <w:sz w:val="28"/>
          <w:szCs w:val="28"/>
        </w:rPr>
        <w:t>八、其他重要事项情况说明</w:t>
      </w:r>
    </w:p>
    <w:p>
      <w:pPr>
        <w:spacing w:line="220" w:lineRule="atLeast"/>
        <w:rPr>
          <w:b/>
          <w:sz w:val="28"/>
          <w:szCs w:val="28"/>
        </w:rPr>
      </w:pPr>
      <w:r>
        <w:rPr>
          <w:rFonts w:hint="eastAsia"/>
          <w:b/>
          <w:sz w:val="28"/>
          <w:szCs w:val="28"/>
        </w:rPr>
        <w:t>第四部分    名词解释</w:t>
      </w:r>
    </w:p>
    <w:p>
      <w:pPr>
        <w:spacing w:line="220" w:lineRule="atLeast"/>
        <w:rPr>
          <w:b/>
          <w:sz w:val="28"/>
          <w:szCs w:val="28"/>
        </w:rPr>
      </w:pPr>
      <w:r>
        <w:rPr>
          <w:rFonts w:hint="eastAsia"/>
          <w:b/>
          <w:sz w:val="28"/>
          <w:szCs w:val="28"/>
        </w:rPr>
        <w:t>第五部分    附件</w:t>
      </w: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rFonts w:hint="eastAsia"/>
          <w:b/>
          <w:sz w:val="28"/>
          <w:szCs w:val="28"/>
        </w:rPr>
      </w:pPr>
    </w:p>
    <w:p>
      <w:pPr>
        <w:spacing w:line="220" w:lineRule="atLeast"/>
        <w:rPr>
          <w:b/>
          <w:sz w:val="28"/>
          <w:szCs w:val="28"/>
        </w:rPr>
      </w:pPr>
      <w:r>
        <w:rPr>
          <w:rFonts w:hint="eastAsia"/>
          <w:b/>
          <w:sz w:val="28"/>
          <w:szCs w:val="28"/>
        </w:rPr>
        <w:t>第一部分概况</w:t>
      </w:r>
    </w:p>
    <w:p>
      <w:pPr>
        <w:spacing w:line="220" w:lineRule="atLeast"/>
        <w:rPr>
          <w:sz w:val="28"/>
          <w:szCs w:val="28"/>
        </w:rPr>
      </w:pPr>
      <w:r>
        <w:rPr>
          <w:rFonts w:hint="eastAsia"/>
          <w:sz w:val="28"/>
          <w:szCs w:val="28"/>
        </w:rPr>
        <w:t>一、本部门职责</w:t>
      </w:r>
    </w:p>
    <w:p>
      <w:pPr>
        <w:ind w:firstLine="560" w:firstLineChars="200"/>
        <w:rPr>
          <w:rFonts w:ascii="仿宋_GB2312" w:eastAsia="仿宋_GB2312"/>
          <w:sz w:val="32"/>
          <w:szCs w:val="32"/>
        </w:rPr>
      </w:pPr>
      <w:r>
        <w:rPr>
          <w:rFonts w:hint="eastAsia"/>
          <w:sz w:val="28"/>
          <w:szCs w:val="28"/>
        </w:rPr>
        <w:t xml:space="preserve"> 开展备灾救灾工作，进行救护培训</w:t>
      </w:r>
      <w:r>
        <w:rPr>
          <w:rFonts w:hint="eastAsia" w:ascii="仿宋_GB2312" w:eastAsia="仿宋_GB2312"/>
          <w:sz w:val="32"/>
          <w:szCs w:val="32"/>
        </w:rPr>
        <w:t>。</w:t>
      </w:r>
    </w:p>
    <w:p>
      <w:pPr>
        <w:spacing w:line="220" w:lineRule="atLeast"/>
        <w:rPr>
          <w:sz w:val="28"/>
          <w:szCs w:val="28"/>
        </w:rPr>
      </w:pPr>
      <w:r>
        <w:rPr>
          <w:rFonts w:hint="eastAsia"/>
          <w:sz w:val="28"/>
          <w:szCs w:val="28"/>
        </w:rPr>
        <w:t>二、机构设置情况</w:t>
      </w:r>
    </w:p>
    <w:p>
      <w:pPr>
        <w:spacing w:line="220" w:lineRule="atLeast"/>
        <w:ind w:firstLine="560" w:firstLineChars="200"/>
        <w:rPr>
          <w:sz w:val="28"/>
          <w:szCs w:val="28"/>
        </w:rPr>
      </w:pPr>
      <w:r>
        <w:rPr>
          <w:rFonts w:hint="eastAsia"/>
          <w:sz w:val="28"/>
          <w:szCs w:val="28"/>
        </w:rPr>
        <w:t>1. 根据部门职责分工，本部门内设机构包括办公室。本部门下属单位包括： 本部门无下属单位。</w:t>
      </w:r>
    </w:p>
    <w:p>
      <w:pPr>
        <w:spacing w:line="220" w:lineRule="atLeast"/>
        <w:ind w:firstLine="560" w:firstLineChars="200"/>
        <w:rPr>
          <w:sz w:val="28"/>
          <w:szCs w:val="28"/>
        </w:rPr>
      </w:pPr>
      <w:r>
        <w:rPr>
          <w:rFonts w:hint="eastAsia"/>
          <w:sz w:val="28"/>
          <w:szCs w:val="28"/>
        </w:rPr>
        <w:t>2. 从决算单位构成看，纳入平顺县红十字会部门2021年部门汇总决算编制范围的预算单位共计1家，具体包括： 平顺县红十字会部门本级。</w:t>
      </w:r>
    </w:p>
    <w:p>
      <w:pPr>
        <w:spacing w:line="220" w:lineRule="atLeast"/>
        <w:rPr>
          <w:sz w:val="28"/>
          <w:szCs w:val="28"/>
        </w:rPr>
      </w:pPr>
      <w:r>
        <w:rPr>
          <w:rFonts w:hint="eastAsia"/>
          <w:sz w:val="28"/>
          <w:szCs w:val="28"/>
        </w:rPr>
        <w:t>三、年度工作计划及执行情况</w:t>
      </w:r>
    </w:p>
    <w:p>
      <w:pPr>
        <w:spacing w:line="220" w:lineRule="atLeast"/>
        <w:rPr>
          <w:sz w:val="28"/>
          <w:szCs w:val="28"/>
        </w:rPr>
      </w:pPr>
      <w:r>
        <w:rPr>
          <w:rFonts w:hint="eastAsia"/>
          <w:sz w:val="28"/>
          <w:szCs w:val="28"/>
        </w:rPr>
        <w:t xml:space="preserve">       2021年，是形势严峻的一年，也是不平凡的一年。在县委、县政府的坚强领导下，在上级业务主管部门的关心指导下，县红十字会牢牢把握“为国奉献、为民造福”的使命任务，按照“基础工作要抓牢，重点工作要抓实，亮点工作要抓好，对标一流谋突破”的工作思路，各项工作协调有序，取得了一定进步。一是领导重视，改革取得新突破。二是扶危济困，架起党群“暖心桥”。三是全力以赴，凝聚“战疫”正能量。四是汇聚力量，“三献”工作有亮点。五是蓬勃发展，志愿服务工作卓有成效。六是关爱生命，救护培训工作持续推进。七是防汛救灾，开展助力灾后重建社会募捐工作。八是关注民生，“婴幼儿奶粉”项目稳步实施。</w:t>
      </w:r>
    </w:p>
    <w:p>
      <w:pPr>
        <w:ind w:left="1369" w:leftChars="304" w:hanging="700" w:hangingChars="250"/>
        <w:rPr>
          <w:rFonts w:ascii="仿宋_GB2312" w:hAnsi="楷体" w:eastAsia="仿宋_GB2312"/>
          <w:color w:val="FF0000"/>
          <w:sz w:val="28"/>
          <w:szCs w:val="28"/>
        </w:rPr>
      </w:pPr>
    </w:p>
    <w:p>
      <w:pPr>
        <w:spacing w:line="220" w:lineRule="atLeast"/>
        <w:rPr>
          <w:b/>
          <w:sz w:val="28"/>
          <w:szCs w:val="28"/>
        </w:rPr>
      </w:pPr>
      <w:r>
        <w:rPr>
          <w:rFonts w:hint="eastAsia"/>
          <w:b/>
          <w:sz w:val="28"/>
          <w:szCs w:val="28"/>
        </w:rPr>
        <w:t>第二部分 2021年度部门决算报表（见附表1）</w:t>
      </w:r>
    </w:p>
    <w:p>
      <w:pPr>
        <w:spacing w:line="220" w:lineRule="atLeast"/>
        <w:rPr>
          <w:sz w:val="28"/>
          <w:szCs w:val="28"/>
        </w:rPr>
      </w:pPr>
      <w:r>
        <w:rPr>
          <w:rFonts w:hint="eastAsia"/>
          <w:sz w:val="28"/>
          <w:szCs w:val="28"/>
        </w:rPr>
        <w:t>一、收入支出决算总表</w:t>
      </w:r>
    </w:p>
    <w:p>
      <w:pPr>
        <w:spacing w:line="220" w:lineRule="atLeast"/>
        <w:rPr>
          <w:sz w:val="28"/>
          <w:szCs w:val="28"/>
        </w:rPr>
      </w:pPr>
      <w:r>
        <w:rPr>
          <w:rFonts w:hint="eastAsia"/>
          <w:sz w:val="28"/>
          <w:szCs w:val="28"/>
        </w:rPr>
        <w:t>二、收入决算表</w:t>
      </w:r>
    </w:p>
    <w:p>
      <w:pPr>
        <w:spacing w:line="220" w:lineRule="atLeast"/>
        <w:rPr>
          <w:sz w:val="28"/>
          <w:szCs w:val="28"/>
        </w:rPr>
      </w:pPr>
      <w:r>
        <w:rPr>
          <w:rFonts w:hint="eastAsia"/>
          <w:sz w:val="28"/>
          <w:szCs w:val="28"/>
        </w:rPr>
        <w:t>三、支出决算表</w:t>
      </w:r>
    </w:p>
    <w:p>
      <w:pPr>
        <w:spacing w:line="220" w:lineRule="atLeast"/>
        <w:rPr>
          <w:sz w:val="28"/>
          <w:szCs w:val="28"/>
        </w:rPr>
      </w:pPr>
      <w:r>
        <w:rPr>
          <w:rFonts w:hint="eastAsia"/>
          <w:sz w:val="28"/>
          <w:szCs w:val="28"/>
        </w:rPr>
        <w:t>四、财政拨款收入支出决算总表</w:t>
      </w:r>
    </w:p>
    <w:p>
      <w:pPr>
        <w:spacing w:line="220" w:lineRule="atLeast"/>
        <w:rPr>
          <w:sz w:val="28"/>
          <w:szCs w:val="28"/>
        </w:rPr>
      </w:pPr>
      <w:r>
        <w:rPr>
          <w:rFonts w:hint="eastAsia"/>
          <w:sz w:val="28"/>
          <w:szCs w:val="28"/>
        </w:rPr>
        <w:t>五、一般公共预算财政拨款支出决算表（一）</w:t>
      </w:r>
    </w:p>
    <w:p>
      <w:pPr>
        <w:spacing w:line="220" w:lineRule="atLeast"/>
        <w:rPr>
          <w:sz w:val="28"/>
          <w:szCs w:val="28"/>
        </w:rPr>
      </w:pPr>
      <w:r>
        <w:rPr>
          <w:rFonts w:hint="eastAsia"/>
          <w:sz w:val="28"/>
          <w:szCs w:val="28"/>
        </w:rPr>
        <w:t>六、一般公共预算财政拨款支出决算表（二）</w:t>
      </w:r>
    </w:p>
    <w:p>
      <w:pPr>
        <w:spacing w:line="220" w:lineRule="atLeast"/>
        <w:rPr>
          <w:sz w:val="28"/>
          <w:szCs w:val="28"/>
        </w:rPr>
      </w:pPr>
      <w:r>
        <w:rPr>
          <w:rFonts w:hint="eastAsia"/>
          <w:sz w:val="28"/>
          <w:szCs w:val="28"/>
        </w:rPr>
        <w:t>七、一般公共预算财政拨款“三公”经费支出决算表</w:t>
      </w:r>
    </w:p>
    <w:p>
      <w:pPr>
        <w:spacing w:line="220" w:lineRule="atLeast"/>
        <w:rPr>
          <w:sz w:val="28"/>
          <w:szCs w:val="28"/>
        </w:rPr>
      </w:pPr>
      <w:r>
        <w:rPr>
          <w:rFonts w:hint="eastAsia"/>
          <w:sz w:val="28"/>
          <w:szCs w:val="28"/>
        </w:rPr>
        <w:t>八、政府性基金预算财政拨款收入支出决算表</w:t>
      </w:r>
    </w:p>
    <w:p>
      <w:pPr>
        <w:spacing w:line="220" w:lineRule="atLeast"/>
        <w:rPr>
          <w:sz w:val="28"/>
          <w:szCs w:val="28"/>
        </w:rPr>
      </w:pPr>
      <w:r>
        <w:rPr>
          <w:rFonts w:hint="eastAsia"/>
          <w:sz w:val="28"/>
          <w:szCs w:val="28"/>
        </w:rPr>
        <w:t>九、国有资本经营预算财政   拨款支出决算表</w:t>
      </w:r>
    </w:p>
    <w:p>
      <w:pPr>
        <w:spacing w:line="220" w:lineRule="atLeast"/>
        <w:rPr>
          <w:rFonts w:hint="eastAsia"/>
          <w:sz w:val="28"/>
          <w:szCs w:val="28"/>
        </w:rPr>
      </w:pPr>
      <w:r>
        <w:rPr>
          <w:rFonts w:hint="eastAsia"/>
          <w:sz w:val="28"/>
          <w:szCs w:val="28"/>
        </w:rPr>
        <w:t>十、部门决算公开相关信息统计表</w:t>
      </w:r>
    </w:p>
    <w:p>
      <w:pPr>
        <w:pStyle w:val="2"/>
        <w:rPr>
          <w:rFonts w:hint="eastAsia" w:ascii="Tahoma" w:hAnsi="Tahoma" w:eastAsia="微软雅黑" w:cs="Times New Roman"/>
          <w:b w:val="0"/>
          <w:bCs w:val="0"/>
          <w:sz w:val="28"/>
          <w:szCs w:val="28"/>
          <w:lang w:val="en-US" w:eastAsia="zh-CN" w:bidi="ar-SA"/>
        </w:rPr>
      </w:pPr>
      <w:r>
        <w:rPr>
          <w:rFonts w:hint="eastAsia" w:ascii="Tahoma" w:hAnsi="Tahoma" w:eastAsia="微软雅黑" w:cs="Times New Roman"/>
          <w:b w:val="0"/>
          <w:bCs w:val="0"/>
          <w:sz w:val="28"/>
          <w:szCs w:val="28"/>
          <w:lang w:val="en-US" w:eastAsia="zh-CN" w:bidi="ar-SA"/>
        </w:rPr>
        <w:t>（注：我单位没有使用政府基金预算财政拨款收入支出和国有资本经营预算财政支出决算表，故无数据。）</w:t>
      </w:r>
    </w:p>
    <w:p>
      <w:pPr>
        <w:spacing w:line="220" w:lineRule="atLeast"/>
        <w:rPr>
          <w:sz w:val="28"/>
          <w:szCs w:val="28"/>
        </w:rPr>
      </w:pPr>
      <w:r>
        <w:rPr>
          <w:rFonts w:hint="eastAsia"/>
          <w:b/>
          <w:sz w:val="28"/>
          <w:szCs w:val="28"/>
        </w:rPr>
        <w:t>第三部分 2021年度部门决算情况说明</w:t>
      </w:r>
    </w:p>
    <w:p>
      <w:pPr>
        <w:spacing w:line="220" w:lineRule="atLeast"/>
        <w:ind w:firstLine="560" w:firstLineChars="200"/>
        <w:rPr>
          <w:b/>
          <w:sz w:val="28"/>
          <w:szCs w:val="28"/>
        </w:rPr>
      </w:pPr>
      <w:r>
        <w:rPr>
          <w:rFonts w:hint="eastAsia"/>
          <w:b/>
          <w:sz w:val="28"/>
          <w:szCs w:val="28"/>
        </w:rPr>
        <w:t>一、收入支出决算总体情况说明</w:t>
      </w:r>
    </w:p>
    <w:p>
      <w:pPr>
        <w:spacing w:line="220" w:lineRule="atLeast"/>
        <w:ind w:firstLine="560" w:firstLineChars="200"/>
        <w:rPr>
          <w:sz w:val="28"/>
          <w:szCs w:val="28"/>
        </w:rPr>
      </w:pPr>
      <w:r>
        <w:rPr>
          <w:rFonts w:hint="eastAsia"/>
          <w:sz w:val="28"/>
          <w:szCs w:val="28"/>
        </w:rPr>
        <w:t>2021年度收入总计36.96万元、支出总计36.96万元。与上年相比，收入总计增加4.05万元，增加12.31%，支出总计增加-7.36万元，增加-16.61%。主要原因是本年度无上级补助收入。</w:t>
      </w:r>
    </w:p>
    <w:p>
      <w:pPr>
        <w:spacing w:line="220" w:lineRule="atLeast"/>
        <w:ind w:firstLine="560" w:firstLineChars="200"/>
        <w:rPr>
          <w:b/>
          <w:sz w:val="28"/>
          <w:szCs w:val="28"/>
        </w:rPr>
      </w:pPr>
      <w:r>
        <w:rPr>
          <w:rFonts w:hint="eastAsia"/>
          <w:b/>
          <w:sz w:val="28"/>
          <w:szCs w:val="28"/>
        </w:rPr>
        <w:t>二、收入决算情况说明</w:t>
      </w:r>
    </w:p>
    <w:p>
      <w:pPr>
        <w:spacing w:line="220" w:lineRule="atLeast"/>
        <w:ind w:firstLine="560" w:firstLineChars="200"/>
        <w:rPr>
          <w:sz w:val="28"/>
          <w:szCs w:val="28"/>
        </w:rPr>
      </w:pPr>
      <w:r>
        <w:rPr>
          <w:rFonts w:hint="eastAsia"/>
          <w:sz w:val="28"/>
          <w:szCs w:val="28"/>
        </w:rPr>
        <w:t>2021年度收入合计36.96万元，其中：财政拨款收入36.96万元，占比100%；上级补助收入0万元，占比0%；事业收入0万元，占比0%；经营收入0万元，占比0%；附属单位上缴收入0万元，占比0%；其他收入0万元，占比0%。</w:t>
      </w:r>
    </w:p>
    <w:p>
      <w:pPr>
        <w:spacing w:line="220" w:lineRule="atLeast"/>
        <w:ind w:firstLine="560" w:firstLineChars="200"/>
        <w:rPr>
          <w:b/>
          <w:sz w:val="28"/>
          <w:szCs w:val="28"/>
        </w:rPr>
      </w:pPr>
      <w:r>
        <w:rPr>
          <w:rFonts w:hint="eastAsia"/>
          <w:b/>
          <w:sz w:val="28"/>
          <w:szCs w:val="28"/>
        </w:rPr>
        <w:t>三、支出决算情况说明</w:t>
      </w:r>
    </w:p>
    <w:p>
      <w:pPr>
        <w:spacing w:line="220" w:lineRule="atLeast"/>
        <w:ind w:firstLine="560" w:firstLineChars="200"/>
        <w:rPr>
          <w:sz w:val="28"/>
          <w:szCs w:val="28"/>
        </w:rPr>
      </w:pPr>
      <w:r>
        <w:rPr>
          <w:rFonts w:hint="eastAsia"/>
          <w:sz w:val="28"/>
          <w:szCs w:val="28"/>
        </w:rPr>
        <w:t>2021年度支出合计36.96万元，其中：基本支出34.13万元，占比92.34%；项目支出2.83万元，占比7.66%；上缴上级支出0万元，占比0%，经营支出0万元，占比0%， 对附属单位补助支出0万元，占比0%。</w:t>
      </w:r>
    </w:p>
    <w:p>
      <w:pPr>
        <w:spacing w:line="220" w:lineRule="atLeast"/>
        <w:ind w:firstLine="560" w:firstLineChars="200"/>
        <w:rPr>
          <w:b/>
          <w:sz w:val="28"/>
          <w:szCs w:val="28"/>
        </w:rPr>
      </w:pPr>
      <w:r>
        <w:rPr>
          <w:rFonts w:hint="eastAsia"/>
          <w:b/>
          <w:sz w:val="28"/>
          <w:szCs w:val="28"/>
        </w:rPr>
        <w:t>四、财政拨款收入支出决算总体情况说明</w:t>
      </w:r>
    </w:p>
    <w:p>
      <w:pPr>
        <w:spacing w:line="220" w:lineRule="atLeast"/>
        <w:ind w:firstLine="560" w:firstLineChars="200"/>
        <w:rPr>
          <w:sz w:val="28"/>
          <w:szCs w:val="28"/>
        </w:rPr>
      </w:pPr>
      <w:r>
        <w:rPr>
          <w:rFonts w:hint="eastAsia"/>
          <w:sz w:val="28"/>
          <w:szCs w:val="28"/>
        </w:rPr>
        <w:t>2021年度财政拨款收入总计36.96万元、支出总计36.96万元。与上年相比，财政拨款收入总计增加4.05万元，增加12.31%，财政拨款支出总计增加-7.36万元，增加-16.61%。主要原因是本年度无上级补助收入.</w:t>
      </w:r>
    </w:p>
    <w:p>
      <w:pPr>
        <w:spacing w:line="220" w:lineRule="atLeast"/>
        <w:ind w:firstLine="560" w:firstLineChars="200"/>
        <w:rPr>
          <w:b/>
          <w:sz w:val="28"/>
          <w:szCs w:val="28"/>
        </w:rPr>
      </w:pPr>
      <w:r>
        <w:rPr>
          <w:rFonts w:hint="eastAsia"/>
          <w:b/>
          <w:sz w:val="28"/>
          <w:szCs w:val="28"/>
        </w:rPr>
        <w:t>五、一般公共预算财政拨款支出决算情况说明</w:t>
      </w:r>
    </w:p>
    <w:p>
      <w:pPr>
        <w:spacing w:line="220" w:lineRule="atLeast"/>
        <w:ind w:firstLine="420" w:firstLineChars="150"/>
        <w:rPr>
          <w:b/>
          <w:sz w:val="28"/>
          <w:szCs w:val="28"/>
        </w:rPr>
      </w:pPr>
      <w:r>
        <w:rPr>
          <w:rFonts w:hint="eastAsia"/>
          <w:b/>
          <w:sz w:val="28"/>
          <w:szCs w:val="28"/>
        </w:rPr>
        <w:t>（一）财政拨款支出决算总体情况</w:t>
      </w:r>
    </w:p>
    <w:p>
      <w:pPr>
        <w:spacing w:line="220" w:lineRule="atLeast"/>
        <w:ind w:firstLine="560" w:firstLineChars="200"/>
        <w:rPr>
          <w:sz w:val="28"/>
          <w:szCs w:val="28"/>
        </w:rPr>
      </w:pPr>
      <w:r>
        <w:rPr>
          <w:rFonts w:hint="eastAsia"/>
          <w:sz w:val="28"/>
          <w:szCs w:val="28"/>
        </w:rPr>
        <w:t>2021年度财政拨款支出36.96万元，占本年支出合计的100%。与上年相比，财政拨款支出增加4.05万元，增加12.31%。主要原因是单位人员增加。其中，人员经费26.73万元，占比72.32%， 日常公用经费7.4万元，占比20.02%。</w:t>
      </w:r>
    </w:p>
    <w:p>
      <w:pPr>
        <w:spacing w:line="220" w:lineRule="atLeast"/>
        <w:ind w:firstLine="420" w:firstLineChars="150"/>
        <w:rPr>
          <w:b/>
          <w:sz w:val="28"/>
          <w:szCs w:val="28"/>
        </w:rPr>
      </w:pPr>
      <w:r>
        <w:rPr>
          <w:rFonts w:hint="eastAsia"/>
          <w:b/>
          <w:sz w:val="28"/>
          <w:szCs w:val="28"/>
        </w:rPr>
        <w:t>（二）财政拨款支出决算结构情况</w:t>
      </w:r>
    </w:p>
    <w:p>
      <w:pPr>
        <w:spacing w:line="220" w:lineRule="atLeast"/>
        <w:ind w:firstLine="560" w:firstLineChars="200"/>
        <w:rPr>
          <w:rFonts w:hint="eastAsia" w:eastAsia="微软雅黑"/>
          <w:sz w:val="28"/>
          <w:szCs w:val="28"/>
          <w:lang w:eastAsia="zh-CN"/>
        </w:rPr>
      </w:pPr>
      <w:r>
        <w:rPr>
          <w:rFonts w:hint="eastAsia"/>
          <w:sz w:val="28"/>
          <w:szCs w:val="28"/>
        </w:rPr>
        <w:t>2021年度财政拨款支出36.96万元，主要用于以下方面：一般公共服务（类）支出0.35万元，占0.95%；外交（类）支出0万元，占0%；国防（类）支出0万元，占0%；公共安全（类）支出0万元，占0%；教育（类）支出0万元，占0%；科学技术（类）支出0万元，占0%；文化旅游体育与传媒（类）支出0万元，占0%；社会保障和就业（类）支出33.11万元，</w:t>
      </w:r>
      <w:r>
        <w:rPr>
          <w:sz w:val="28"/>
          <w:szCs w:val="28"/>
        </w:rPr>
        <w:t xml:space="preserve"> </w:t>
      </w:r>
      <w:r>
        <w:rPr>
          <w:rFonts w:hint="eastAsia"/>
          <w:sz w:val="28"/>
          <w:szCs w:val="28"/>
        </w:rPr>
        <w:t>占89.58%；卫生健康（类）支出1.22万元，占3.3%；节能环保（类）支出0万元，占0%；城乡社区（类）支出0万元，占0%；农林水（类）支出0万元，占0%；交通运输（类）支出0万元，占0%；资源勘探工业信息等（类）支出0万元，占0%；商业服务业等（类）支出0万元，占0%；金融（类）支出0万元，占0%；援助其他地区（类）支出0万元，占0%；自然资源海洋气象等（类）支出0万元，占0%；住房保障（类）支出2.29万元，占6.20%；粮油物资储备（类）支出0万元，占0%；国有资本经营预算（类）支出0万元，占0%；灾害防治及应急管理（类）支出0万元，占0%；其（类）支出0万元，占0%；债务还本（类）支出0万元，占0%；债务付息（类）支出0万元，占0%；抗疫特别国债安排（类）支出0万元，占0%</w:t>
      </w:r>
      <w:r>
        <w:rPr>
          <w:rFonts w:hint="eastAsia"/>
          <w:sz w:val="28"/>
          <w:szCs w:val="28"/>
          <w:lang w:eastAsia="zh-CN"/>
        </w:rPr>
        <w:t>。</w:t>
      </w:r>
    </w:p>
    <w:p>
      <w:pPr>
        <w:spacing w:line="220" w:lineRule="atLeast"/>
        <w:ind w:firstLine="420" w:firstLineChars="150"/>
        <w:rPr>
          <w:b/>
          <w:sz w:val="28"/>
          <w:szCs w:val="28"/>
        </w:rPr>
      </w:pPr>
      <w:r>
        <w:rPr>
          <w:rFonts w:hint="eastAsia"/>
          <w:b/>
          <w:sz w:val="28"/>
          <w:szCs w:val="28"/>
        </w:rPr>
        <w:t>（三）财政拨款支出决算具体情况</w:t>
      </w:r>
    </w:p>
    <w:p>
      <w:pPr>
        <w:spacing w:line="220" w:lineRule="atLeast"/>
        <w:ind w:firstLine="560" w:firstLineChars="200"/>
        <w:rPr>
          <w:sz w:val="28"/>
          <w:szCs w:val="28"/>
        </w:rPr>
      </w:pPr>
      <w:r>
        <w:rPr>
          <w:rFonts w:hint="eastAsia"/>
          <w:sz w:val="28"/>
          <w:szCs w:val="28"/>
        </w:rPr>
        <w:t>2021年度财政拨款支出年初预算29.07万元，支出决算36.96万元，完成年初预算的127.14%。其中：</w:t>
      </w:r>
    </w:p>
    <w:p>
      <w:pPr>
        <w:spacing w:line="220" w:lineRule="atLeast"/>
        <w:ind w:firstLine="560" w:firstLineChars="200"/>
        <w:rPr>
          <w:rFonts w:hint="eastAsia"/>
          <w:sz w:val="28"/>
          <w:szCs w:val="28"/>
          <w:lang w:eastAsia="zh-CN"/>
        </w:rPr>
      </w:pPr>
      <w:r>
        <w:rPr>
          <w:rFonts w:hint="eastAsia"/>
          <w:sz w:val="28"/>
          <w:szCs w:val="28"/>
        </w:rPr>
        <w:t>一般公共服务支出年初预算0.33万元，支出决算0.35万元完成年初预算的106%，用于一般公共服务支出较上年决算增加0.08万元，增长29.63%，主要原因人员增加; 公共安全（类）支出年初预算0万元，支出决算0万元完成年初预算的0%，用于公共安全（类）支出较上年决算增加0万元，增长0%，主要原因无; 教育支出年初预算0万元，支出决算0万元完成年初预算的0%，用于教育支出较上年决算增加0万元，增长0%，主要原因无;</w:t>
      </w:r>
      <w:r>
        <w:rPr>
          <w:rFonts w:hint="eastAsia"/>
        </w:rPr>
        <w:t xml:space="preserve"> </w:t>
      </w:r>
      <w:r>
        <w:rPr>
          <w:rFonts w:hint="eastAsia"/>
          <w:sz w:val="28"/>
          <w:szCs w:val="28"/>
        </w:rPr>
        <w:t>科学技术支出年初预算0万元，支出决算0万元完成年初预算的0%，用于科学技术支出较上年决算增加0万元，增长0%，主要原因无; 文化旅游体育与传媒支出年初预算0万元，支出决算0万元完成年初预算的0%，用于文化旅游体育与传媒支出较上年决算增加0万元，增长0%，主要原因无; 社会保障和就业支出年初预算26.03万元，支出决算33.11万元完成年初预算的127.20%，用于社会保障和就业支出较上年决算增加-7.43万元，增长-18.33%，主要原因人员正常流动; 卫生健康支出年初预算0.95万元，支出决算1.22万元完成年初预算的128.42%，用于卫生健康支出较上年决算增加0.25万元，增长25.77%，主要原因人员增加;</w:t>
      </w:r>
      <w:r>
        <w:rPr>
          <w:rFonts w:hint="eastAsia"/>
        </w:rPr>
        <w:t xml:space="preserve"> </w:t>
      </w:r>
      <w:r>
        <w:rPr>
          <w:rFonts w:hint="eastAsia"/>
          <w:sz w:val="28"/>
          <w:szCs w:val="28"/>
        </w:rPr>
        <w:t>节能环保支出年初预算0万元，支出决算0万元完成年初预算的0%，用于节能环保支出较上年决算增加0万元，增长0%，主要原因无; 城乡社区支出年初预算0万元，支出决算0万元完成年初预算的0%，用于城乡社区支出较上年决算增加0万元，增长0%，主要原因无;</w:t>
      </w:r>
      <w:r>
        <w:rPr>
          <w:rFonts w:hint="eastAsia"/>
        </w:rPr>
        <w:t xml:space="preserve"> </w:t>
      </w:r>
      <w:r>
        <w:rPr>
          <w:rFonts w:hint="eastAsia"/>
          <w:sz w:val="28"/>
          <w:szCs w:val="28"/>
        </w:rPr>
        <w:t>农林水支出年初预算0万元，支出决算0万元完成年初预算的0%，用于农林水支出较上年决算增加0万元，增长0%，主要原因无;</w:t>
      </w:r>
      <w:r>
        <w:rPr>
          <w:rFonts w:hint="eastAsia"/>
        </w:rPr>
        <w:t xml:space="preserve"> </w:t>
      </w:r>
      <w:r>
        <w:rPr>
          <w:rFonts w:hint="eastAsia"/>
          <w:sz w:val="28"/>
          <w:szCs w:val="28"/>
        </w:rPr>
        <w:t>交通运输支出年初预算0万元，支出决算0万元完成年初预算的0%，用于农林水支出较上年决算增加0万元，增长0%，主要原因无;</w:t>
      </w:r>
      <w:r>
        <w:rPr>
          <w:rFonts w:hint="eastAsia"/>
        </w:rPr>
        <w:t xml:space="preserve"> </w:t>
      </w:r>
      <w:r>
        <w:rPr>
          <w:rFonts w:hint="eastAsia"/>
          <w:sz w:val="28"/>
          <w:szCs w:val="28"/>
        </w:rPr>
        <w:t>资源勘探工业信息等支出年初预算0万元，支出决算0万元完成年初预算的0%，用于资源勘探工业信息等支较上年决算增加0万元，增长0%，主要原因无; 商业服务业等支出年初预算0万元，支出决算0万元完成年初预算的0%，用于 商业服务业等支出较上年决算增加0万元，增长0%，主要原因无; 金融支出年初预算0万元，支出决算0万元完成年初预算的0%，用于金融支出较上年决算增加0万元，增长0%，主要原因无; 援助其他地区支出年初预算0万元，支出决算0万元完成年初预算的0%，用于援助其他地区支出较上年决算增加0万元，增长0%，主要原因无; 自然资源海洋气象等支出年初预算0万元，支出决算0万元完成年初预算的0%，用于 自然资源海洋气象等支出较上年决算增加0万元，增长0%，主要原因无; 住房保障支出年初预算1.76万元，支出决算2.29万元完成年初预算的130.11%，用于住房保障支出较上年决算增加0.55万元，增长31.61%，主要原因人员增加; 粮油物资储备支出年初预算0万元，支出决算0万元完成年初预算的0%，用于粮油物资储备支出较上年决算增加0万元，增长0%，主要原因无; 国有资本经营预算支出年初预算0万元，支出决算0万元完成年初预算的0%，用于 国有资本经营预算支出较上年决算增加0万元，增长0%，主要原因无;</w:t>
      </w:r>
      <w:r>
        <w:rPr>
          <w:rFonts w:hint="eastAsia"/>
        </w:rPr>
        <w:t xml:space="preserve"> </w:t>
      </w:r>
      <w:r>
        <w:rPr>
          <w:rFonts w:hint="eastAsia"/>
          <w:sz w:val="28"/>
          <w:szCs w:val="28"/>
        </w:rPr>
        <w:t>灾害防治及应急管理支出年初预算0万元，支出决算0万元完成年初预算的0%，用于灾害防治及应急管理支出较上年决算增加0万元，增长0%，主要原因无;</w:t>
      </w:r>
      <w:r>
        <w:rPr>
          <w:rFonts w:hint="eastAsia"/>
        </w:rPr>
        <w:t xml:space="preserve"> </w:t>
      </w:r>
      <w:r>
        <w:rPr>
          <w:rFonts w:hint="eastAsia"/>
          <w:sz w:val="28"/>
          <w:szCs w:val="28"/>
        </w:rPr>
        <w:t>其他支出年初预算0万元，支出决算0万元完成年初预算的0%，用于其他支出较上年决算增加-0.8万元，增长-100%，主要原因工作实际情况; 债务还本支出年初预算0万元，支出决算0万元完成年初预算的0%，用于债务还本支出较上年决算增加0万元，增长0%，主要原因无; 债务付息支出年初预算0万元，支出决算0万元完成年初预算的0%，用于债务付息支出较上年决算增加0万元，增长0%，主要原因无; 抗疫特别国债安排的支出年初预算0万元，支出决算0万元完成年初预算的0%，用于抗疫特别国债安排的支出较上年决算增加0万元，增长0%，主要原因无</w:t>
      </w:r>
      <w:r>
        <w:rPr>
          <w:rFonts w:hint="eastAsia"/>
          <w:sz w:val="28"/>
          <w:szCs w:val="28"/>
          <w:lang w:eastAsia="zh-CN"/>
        </w:rPr>
        <w:t>。</w:t>
      </w:r>
    </w:p>
    <w:p>
      <w:pPr>
        <w:spacing w:line="220" w:lineRule="atLeast"/>
        <w:ind w:firstLine="560" w:firstLineChars="200"/>
        <w:rPr>
          <w:b/>
          <w:sz w:val="28"/>
          <w:szCs w:val="28"/>
        </w:rPr>
      </w:pPr>
      <w:r>
        <w:rPr>
          <w:rFonts w:hint="eastAsia"/>
          <w:b/>
          <w:sz w:val="28"/>
          <w:szCs w:val="28"/>
        </w:rPr>
        <w:t>六、一般公共预算财政拨款基本支出决算情况说明</w:t>
      </w:r>
    </w:p>
    <w:p>
      <w:pPr>
        <w:spacing w:line="220" w:lineRule="atLeast"/>
        <w:ind w:firstLine="560" w:firstLineChars="200"/>
        <w:rPr>
          <w:sz w:val="28"/>
          <w:szCs w:val="28"/>
        </w:rPr>
      </w:pPr>
      <w:r>
        <w:rPr>
          <w:rFonts w:hint="eastAsia"/>
          <w:sz w:val="28"/>
          <w:szCs w:val="28"/>
        </w:rPr>
        <w:t>2021年度财政拨款基本支出34.13万元，其中：人员经费26.73万元，主要包括工资福利支出、对个人和家庭的补助；公用经费7.40万元，主要包括商品和服务支出。</w:t>
      </w:r>
    </w:p>
    <w:p>
      <w:pPr>
        <w:spacing w:line="220" w:lineRule="atLeast"/>
        <w:ind w:firstLine="560" w:firstLineChars="200"/>
        <w:rPr>
          <w:b/>
          <w:sz w:val="28"/>
          <w:szCs w:val="28"/>
        </w:rPr>
      </w:pPr>
      <w:r>
        <w:rPr>
          <w:rFonts w:hint="eastAsia"/>
          <w:b/>
          <w:sz w:val="28"/>
          <w:szCs w:val="28"/>
        </w:rPr>
        <w:t>七、一般公共预算财政拨款“三公”经费支出决算情况说明</w:t>
      </w:r>
    </w:p>
    <w:p>
      <w:pPr>
        <w:spacing w:line="220" w:lineRule="atLeast"/>
        <w:ind w:firstLine="560" w:firstLineChars="200"/>
        <w:rPr>
          <w:b/>
          <w:sz w:val="28"/>
          <w:szCs w:val="28"/>
        </w:rPr>
      </w:pPr>
      <w:r>
        <w:rPr>
          <w:rFonts w:hint="eastAsia"/>
          <w:b/>
          <w:sz w:val="28"/>
          <w:szCs w:val="28"/>
        </w:rPr>
        <w:t>（一）“三公”经费财政拨款支出决算总体情况说明。</w:t>
      </w:r>
    </w:p>
    <w:p>
      <w:pPr>
        <w:spacing w:line="220" w:lineRule="atLeast"/>
        <w:ind w:firstLine="560" w:firstLineChars="200"/>
        <w:rPr>
          <w:sz w:val="28"/>
          <w:szCs w:val="28"/>
        </w:rPr>
      </w:pPr>
      <w:r>
        <w:rPr>
          <w:rFonts w:hint="eastAsia"/>
          <w:sz w:val="28"/>
          <w:szCs w:val="28"/>
        </w:rPr>
        <w:t>2021年度“三公”经费财政拨款支出预算0.2万元，支出决算0万元，完成预算的0%，比上年减少0.08万元，减少100%，主要原因是：减少开支厉行节约。</w:t>
      </w:r>
    </w:p>
    <w:p>
      <w:pPr>
        <w:spacing w:line="220" w:lineRule="atLeast"/>
        <w:ind w:firstLine="560" w:firstLineChars="200"/>
        <w:rPr>
          <w:b/>
          <w:sz w:val="28"/>
          <w:szCs w:val="28"/>
        </w:rPr>
      </w:pPr>
      <w:r>
        <w:rPr>
          <w:rFonts w:hint="eastAsia"/>
          <w:b/>
          <w:sz w:val="28"/>
          <w:szCs w:val="28"/>
        </w:rPr>
        <w:t>（二）“三公”经费财政拨款支出决算具体情况说明。</w:t>
      </w:r>
    </w:p>
    <w:p>
      <w:pPr>
        <w:ind w:firstLine="643" w:firstLineChars="200"/>
        <w:rPr>
          <w:rFonts w:ascii="仿宋_GB2312" w:hAnsi="仿宋" w:eastAsia="仿宋_GB2312"/>
          <w:b/>
          <w:sz w:val="32"/>
          <w:szCs w:val="32"/>
        </w:rPr>
      </w:pPr>
      <w:r>
        <w:rPr>
          <w:rFonts w:hint="eastAsia" w:ascii="仿宋_GB2312" w:hAnsi="仿宋" w:eastAsia="仿宋_GB2312"/>
          <w:b/>
          <w:sz w:val="32"/>
          <w:szCs w:val="32"/>
        </w:rPr>
        <w:t>（1）与预算数比较</w:t>
      </w:r>
    </w:p>
    <w:tbl>
      <w:tblPr>
        <w:tblStyle w:val="5"/>
        <w:tblW w:w="0" w:type="auto"/>
        <w:tblInd w:w="91" w:type="dxa"/>
        <w:tblLayout w:type="autofit"/>
        <w:tblCellMar>
          <w:top w:w="0" w:type="dxa"/>
          <w:left w:w="108" w:type="dxa"/>
          <w:bottom w:w="0" w:type="dxa"/>
          <w:right w:w="108" w:type="dxa"/>
        </w:tblCellMar>
      </w:tblPr>
      <w:tblGrid>
        <w:gridCol w:w="2876"/>
        <w:gridCol w:w="1819"/>
        <w:gridCol w:w="1843"/>
        <w:gridCol w:w="1843"/>
      </w:tblGrid>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sz w:val="20"/>
                <w:szCs w:val="20"/>
              </w:rPr>
            </w:pPr>
            <w:r>
              <w:rPr>
                <w:rFonts w:hint="eastAsia" w:ascii="宋体" w:hAnsi="宋体" w:cs="宋体"/>
                <w:b/>
                <w:bCs/>
                <w:color w:val="000000"/>
                <w:sz w:val="20"/>
                <w:szCs w:val="20"/>
              </w:rPr>
              <w:t>2021三公经费明细</w:t>
            </w:r>
          </w:p>
        </w:tc>
        <w:tc>
          <w:tcPr>
            <w:tcW w:w="181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sz w:val="20"/>
                <w:szCs w:val="20"/>
              </w:rPr>
            </w:pPr>
            <w:r>
              <w:rPr>
                <w:rFonts w:hint="eastAsia" w:ascii="宋体" w:hAnsi="宋体" w:cs="宋体"/>
                <w:b/>
                <w:bCs/>
                <w:color w:val="000000"/>
                <w:sz w:val="20"/>
                <w:szCs w:val="20"/>
              </w:rPr>
              <w:t>预算数</w:t>
            </w:r>
            <w:r>
              <w:rPr>
                <w:rFonts w:hint="eastAsia" w:ascii="宋体" w:hAnsi="宋体" w:cs="宋体"/>
                <w:b/>
                <w:bCs/>
                <w:color w:val="000000"/>
              </w:rPr>
              <w:t>（万元）</w:t>
            </w:r>
          </w:p>
        </w:tc>
        <w:tc>
          <w:tcPr>
            <w:tcW w:w="18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sz w:val="20"/>
                <w:szCs w:val="20"/>
              </w:rPr>
            </w:pPr>
            <w:r>
              <w:rPr>
                <w:rFonts w:hint="eastAsia" w:ascii="宋体" w:hAnsi="宋体" w:cs="宋体"/>
                <w:b/>
                <w:bCs/>
                <w:color w:val="000000"/>
                <w:sz w:val="20"/>
                <w:szCs w:val="20"/>
              </w:rPr>
              <w:t>决算数</w:t>
            </w:r>
            <w:r>
              <w:rPr>
                <w:rFonts w:hint="eastAsia" w:ascii="宋体" w:hAnsi="宋体" w:cs="宋体"/>
                <w:b/>
                <w:bCs/>
                <w:color w:val="000000"/>
              </w:rPr>
              <w:t>（万元）</w:t>
            </w:r>
          </w:p>
        </w:tc>
        <w:tc>
          <w:tcPr>
            <w:tcW w:w="1843"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color w:val="000000"/>
                <w:sz w:val="20"/>
                <w:szCs w:val="20"/>
              </w:rPr>
            </w:pPr>
            <w:r>
              <w:rPr>
                <w:rFonts w:hint="eastAsia" w:ascii="宋体" w:hAnsi="宋体" w:cs="宋体"/>
                <w:b/>
                <w:bCs/>
                <w:color w:val="000000"/>
                <w:sz w:val="20"/>
                <w:szCs w:val="20"/>
              </w:rPr>
              <w:t>决算完成预算比例%</w:t>
            </w:r>
          </w:p>
        </w:tc>
      </w:tr>
      <w:tr>
        <w:tblPrEx>
          <w:tblCellMar>
            <w:top w:w="0" w:type="dxa"/>
            <w:left w:w="108" w:type="dxa"/>
            <w:bottom w:w="0" w:type="dxa"/>
            <w:right w:w="108" w:type="dxa"/>
          </w:tblCellMar>
        </w:tblPrEx>
        <w:trPr>
          <w:trHeight w:val="552" w:hRule="atLeast"/>
        </w:trPr>
        <w:tc>
          <w:tcPr>
            <w:tcW w:w="0" w:type="auto"/>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b/>
                <w:bCs/>
                <w:color w:val="000000"/>
              </w:rPr>
            </w:pPr>
            <w:r>
              <w:rPr>
                <w:rFonts w:hint="eastAsia" w:ascii="宋体" w:hAnsi="宋体" w:cs="宋体"/>
                <w:b/>
                <w:bCs/>
                <w:color w:val="000000"/>
              </w:rPr>
              <w:t>合计</w:t>
            </w:r>
          </w:p>
        </w:tc>
        <w:tc>
          <w:tcPr>
            <w:tcW w:w="181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rPr>
            </w:pPr>
            <w:r>
              <w:rPr>
                <w:rFonts w:hint="eastAsia" w:ascii="宋体" w:hAnsi="宋体" w:cs="宋体"/>
                <w:color w:val="000000"/>
              </w:rPr>
              <w:t>0.2</w:t>
            </w:r>
          </w:p>
        </w:tc>
        <w:tc>
          <w:tcPr>
            <w:tcW w:w="184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rPr>
            </w:pPr>
            <w:r>
              <w:rPr>
                <w:rFonts w:hint="eastAsia" w:ascii="宋体" w:hAnsi="宋体" w:cs="宋体"/>
                <w:color w:val="000000"/>
              </w:rPr>
              <w:t>　0</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rPr>
            </w:pPr>
            <w:r>
              <w:rPr>
                <w:rFonts w:hint="eastAsia" w:ascii="宋体" w:hAnsi="宋体" w:cs="宋体"/>
                <w:color w:val="000000"/>
              </w:rPr>
              <w:t>0</w:t>
            </w: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rPr>
            </w:pPr>
            <w:r>
              <w:rPr>
                <w:rFonts w:hint="eastAsia" w:ascii="宋体" w:hAnsi="宋体" w:cs="宋体"/>
                <w:color w:val="000000"/>
              </w:rPr>
              <w:t>因公出国（境）费</w:t>
            </w:r>
          </w:p>
        </w:tc>
        <w:tc>
          <w:tcPr>
            <w:tcW w:w="181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rPr>
            </w:pPr>
            <w:r>
              <w:rPr>
                <w:rFonts w:hint="eastAsia" w:ascii="宋体" w:hAnsi="宋体" w:cs="宋体"/>
                <w:color w:val="000000"/>
              </w:rPr>
              <w:t>0</w:t>
            </w:r>
          </w:p>
        </w:tc>
        <w:tc>
          <w:tcPr>
            <w:tcW w:w="184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rPr>
            </w:pPr>
            <w:r>
              <w:rPr>
                <w:rFonts w:hint="eastAsia" w:ascii="宋体" w:hAnsi="宋体" w:cs="宋体"/>
                <w:color w:val="000000"/>
              </w:rPr>
              <w:t>0</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rPr>
            </w:pPr>
            <w:r>
              <w:rPr>
                <w:rFonts w:hint="eastAsia" w:ascii="宋体" w:hAnsi="宋体" w:cs="宋体"/>
                <w:color w:val="000000"/>
              </w:rPr>
              <w:t>0</w:t>
            </w: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rPr>
            </w:pPr>
            <w:r>
              <w:rPr>
                <w:rFonts w:hint="eastAsia" w:ascii="宋体" w:hAnsi="宋体" w:cs="宋体"/>
                <w:color w:val="000000"/>
              </w:rPr>
              <w:t>公务用车购置及运行维护费</w:t>
            </w:r>
          </w:p>
        </w:tc>
        <w:tc>
          <w:tcPr>
            <w:tcW w:w="181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rPr>
            </w:pPr>
            <w:r>
              <w:rPr>
                <w:rFonts w:hint="eastAsia" w:ascii="宋体" w:hAnsi="宋体" w:cs="宋体"/>
                <w:color w:val="000000"/>
              </w:rPr>
              <w:t>　0</w:t>
            </w:r>
          </w:p>
        </w:tc>
        <w:tc>
          <w:tcPr>
            <w:tcW w:w="184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rPr>
            </w:pPr>
            <w:r>
              <w:rPr>
                <w:rFonts w:hint="eastAsia" w:ascii="宋体" w:hAnsi="宋体" w:cs="宋体"/>
                <w:color w:val="000000"/>
              </w:rPr>
              <w:t>　0</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rPr>
            </w:pPr>
            <w:r>
              <w:rPr>
                <w:rFonts w:hint="eastAsia" w:ascii="宋体" w:hAnsi="宋体" w:cs="宋体"/>
                <w:color w:val="000000"/>
              </w:rPr>
              <w:t>0</w:t>
            </w: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rPr>
            </w:pPr>
            <w:r>
              <w:rPr>
                <w:rFonts w:hint="eastAsia" w:ascii="宋体" w:hAnsi="宋体" w:cs="宋体"/>
                <w:color w:val="000000"/>
              </w:rPr>
              <w:t xml:space="preserve">   其中：公务用车购置费</w:t>
            </w:r>
          </w:p>
        </w:tc>
        <w:tc>
          <w:tcPr>
            <w:tcW w:w="181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rPr>
            </w:pPr>
            <w:r>
              <w:rPr>
                <w:rFonts w:hint="eastAsia" w:ascii="宋体" w:hAnsi="宋体" w:cs="宋体"/>
                <w:color w:val="000000"/>
              </w:rPr>
              <w:t>　0</w:t>
            </w:r>
          </w:p>
        </w:tc>
        <w:tc>
          <w:tcPr>
            <w:tcW w:w="184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rPr>
            </w:pPr>
            <w:r>
              <w:rPr>
                <w:rFonts w:hint="eastAsia" w:ascii="宋体" w:hAnsi="宋体" w:cs="宋体"/>
                <w:color w:val="000000"/>
              </w:rPr>
              <w:t>　0</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rPr>
            </w:pPr>
            <w:r>
              <w:rPr>
                <w:rFonts w:hint="eastAsia" w:ascii="宋体" w:hAnsi="宋体" w:cs="宋体"/>
                <w:color w:val="000000"/>
              </w:rPr>
              <w:t>0</w:t>
            </w: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sz w:val="20"/>
                <w:szCs w:val="20"/>
              </w:rPr>
            </w:pPr>
            <w:r>
              <w:rPr>
                <w:rFonts w:hint="eastAsia" w:ascii="宋体" w:hAnsi="宋体" w:cs="宋体"/>
                <w:color w:val="000000"/>
              </w:rPr>
              <w:t xml:space="preserve">      </w:t>
            </w:r>
            <w:r>
              <w:rPr>
                <w:rFonts w:hint="eastAsia" w:ascii="宋体" w:hAnsi="宋体" w:cs="宋体"/>
                <w:color w:val="000000"/>
                <w:sz w:val="20"/>
                <w:szCs w:val="20"/>
              </w:rPr>
              <w:t xml:space="preserve">  公务用车运行维护费</w:t>
            </w:r>
          </w:p>
        </w:tc>
        <w:tc>
          <w:tcPr>
            <w:tcW w:w="181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rPr>
            </w:pPr>
            <w:r>
              <w:rPr>
                <w:rFonts w:hint="eastAsia" w:ascii="宋体" w:hAnsi="宋体" w:cs="宋体"/>
                <w:color w:val="000000"/>
              </w:rPr>
              <w:t>　0</w:t>
            </w:r>
          </w:p>
        </w:tc>
        <w:tc>
          <w:tcPr>
            <w:tcW w:w="184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rPr>
            </w:pPr>
            <w:r>
              <w:rPr>
                <w:rFonts w:hint="eastAsia" w:ascii="宋体" w:hAnsi="宋体" w:cs="宋体"/>
                <w:color w:val="000000"/>
              </w:rPr>
              <w:t>　0</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rPr>
            </w:pPr>
            <w:r>
              <w:rPr>
                <w:rFonts w:hint="eastAsia" w:ascii="宋体" w:hAnsi="宋体" w:cs="宋体"/>
                <w:color w:val="000000"/>
              </w:rPr>
              <w:t>0</w:t>
            </w: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rPr>
            </w:pPr>
            <w:r>
              <w:rPr>
                <w:rFonts w:hint="eastAsia" w:ascii="宋体" w:hAnsi="宋体" w:cs="宋体"/>
                <w:color w:val="000000"/>
              </w:rPr>
              <w:t>公务接待费</w:t>
            </w:r>
          </w:p>
        </w:tc>
        <w:tc>
          <w:tcPr>
            <w:tcW w:w="181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rPr>
            </w:pPr>
            <w:r>
              <w:rPr>
                <w:rFonts w:hint="eastAsia" w:ascii="宋体" w:hAnsi="宋体" w:cs="宋体"/>
                <w:color w:val="000000"/>
              </w:rPr>
              <w:t>　0.2</w:t>
            </w:r>
          </w:p>
        </w:tc>
        <w:tc>
          <w:tcPr>
            <w:tcW w:w="184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rPr>
            </w:pPr>
            <w:r>
              <w:rPr>
                <w:rFonts w:hint="eastAsia" w:ascii="宋体" w:hAnsi="宋体" w:cs="宋体"/>
                <w:color w:val="000000"/>
              </w:rPr>
              <w:t>　0</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rPr>
            </w:pPr>
            <w:r>
              <w:rPr>
                <w:rFonts w:hint="eastAsia" w:ascii="宋体" w:hAnsi="宋体" w:cs="宋体"/>
                <w:color w:val="000000"/>
              </w:rPr>
              <w:t>0</w:t>
            </w:r>
          </w:p>
        </w:tc>
      </w:tr>
    </w:tbl>
    <w:p>
      <w:pPr>
        <w:rPr>
          <w:rFonts w:ascii="仿宋_GB2312" w:hAnsi="仿宋" w:eastAsia="仿宋_GB2312"/>
          <w:b/>
          <w:sz w:val="32"/>
          <w:szCs w:val="32"/>
        </w:rPr>
      </w:pPr>
    </w:p>
    <w:p>
      <w:pPr>
        <w:ind w:firstLine="643" w:firstLineChars="200"/>
        <w:rPr>
          <w:rFonts w:ascii="仿宋_GB2312" w:hAnsi="仿宋" w:eastAsia="仿宋_GB2312"/>
          <w:b/>
          <w:sz w:val="32"/>
          <w:szCs w:val="32"/>
        </w:rPr>
      </w:pPr>
      <w:r>
        <w:rPr>
          <w:rFonts w:hint="eastAsia" w:ascii="仿宋_GB2312" w:hAnsi="仿宋" w:eastAsia="仿宋_GB2312"/>
          <w:b/>
          <w:sz w:val="32"/>
          <w:szCs w:val="32"/>
        </w:rPr>
        <w:t>（2）上下年度比较</w:t>
      </w:r>
    </w:p>
    <w:tbl>
      <w:tblPr>
        <w:tblStyle w:val="5"/>
        <w:tblW w:w="8431" w:type="dxa"/>
        <w:tblInd w:w="91" w:type="dxa"/>
        <w:tblLayout w:type="autofit"/>
        <w:tblCellMar>
          <w:top w:w="0" w:type="dxa"/>
          <w:left w:w="108" w:type="dxa"/>
          <w:bottom w:w="0" w:type="dxa"/>
          <w:right w:w="108" w:type="dxa"/>
        </w:tblCellMar>
      </w:tblPr>
      <w:tblGrid>
        <w:gridCol w:w="2711"/>
        <w:gridCol w:w="1701"/>
        <w:gridCol w:w="1417"/>
        <w:gridCol w:w="1418"/>
        <w:gridCol w:w="1184"/>
      </w:tblGrid>
      <w:tr>
        <w:tblPrEx>
          <w:tblCellMar>
            <w:top w:w="0" w:type="dxa"/>
            <w:left w:w="108" w:type="dxa"/>
            <w:bottom w:w="0" w:type="dxa"/>
            <w:right w:w="108" w:type="dxa"/>
          </w:tblCellMar>
        </w:tblPrEx>
        <w:trPr>
          <w:trHeight w:val="510" w:hRule="atLeast"/>
        </w:trPr>
        <w:tc>
          <w:tcPr>
            <w:tcW w:w="2711"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三公经费明细</w:t>
            </w:r>
          </w:p>
        </w:tc>
        <w:tc>
          <w:tcPr>
            <w:tcW w:w="3118"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决算数（万元）</w:t>
            </w:r>
          </w:p>
        </w:tc>
        <w:tc>
          <w:tcPr>
            <w:tcW w:w="1418" w:type="dxa"/>
            <w:tcBorders>
              <w:top w:val="single" w:color="auto" w:sz="4" w:space="0"/>
              <w:left w:val="nil"/>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比上年增加</w:t>
            </w:r>
          </w:p>
        </w:tc>
        <w:tc>
          <w:tcPr>
            <w:tcW w:w="1184" w:type="dxa"/>
            <w:vMerge w:val="restart"/>
            <w:tcBorders>
              <w:top w:val="single" w:color="auto" w:sz="4" w:space="0"/>
              <w:left w:val="nil"/>
              <w:right w:val="single" w:color="auto" w:sz="4" w:space="0"/>
            </w:tcBorders>
          </w:tcPr>
          <w:p>
            <w:pPr>
              <w:jc w:val="center"/>
              <w:rPr>
                <w:rFonts w:ascii="宋体" w:hAnsi="宋体" w:cs="宋体"/>
                <w:b/>
                <w:bCs/>
                <w:color w:val="000000"/>
              </w:rPr>
            </w:pPr>
            <w:r>
              <w:rPr>
                <w:rFonts w:hint="eastAsia" w:ascii="宋体" w:hAnsi="宋体" w:cs="宋体"/>
                <w:b/>
                <w:bCs/>
                <w:color w:val="000000"/>
              </w:rPr>
              <w:t>比上年增加比例%</w:t>
            </w:r>
          </w:p>
        </w:tc>
      </w:tr>
      <w:tr>
        <w:tblPrEx>
          <w:tblCellMar>
            <w:top w:w="0" w:type="dxa"/>
            <w:left w:w="108" w:type="dxa"/>
            <w:bottom w:w="0" w:type="dxa"/>
            <w:right w:w="108" w:type="dxa"/>
          </w:tblCellMar>
        </w:tblPrEx>
        <w:trPr>
          <w:trHeight w:val="292" w:hRule="atLeast"/>
        </w:trPr>
        <w:tc>
          <w:tcPr>
            <w:tcW w:w="271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color w:val="000000"/>
              </w:rPr>
            </w:pP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2021</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2021-2020</w:t>
            </w:r>
          </w:p>
        </w:tc>
        <w:tc>
          <w:tcPr>
            <w:tcW w:w="1184" w:type="dxa"/>
            <w:vMerge w:val="continue"/>
            <w:tcBorders>
              <w:left w:val="single" w:color="auto" w:sz="4" w:space="0"/>
              <w:bottom w:val="single" w:color="auto" w:sz="4" w:space="0"/>
              <w:right w:val="single" w:color="auto" w:sz="4" w:space="0"/>
            </w:tcBorders>
          </w:tcPr>
          <w:p>
            <w:pPr>
              <w:jc w:val="center"/>
              <w:rPr>
                <w:rFonts w:ascii="宋体" w:hAnsi="宋体" w:cs="宋体"/>
                <w:b/>
                <w:bCs/>
                <w:color w:val="000000"/>
              </w:rPr>
            </w:pPr>
          </w:p>
        </w:tc>
      </w:tr>
      <w:tr>
        <w:tblPrEx>
          <w:tblCellMar>
            <w:top w:w="0" w:type="dxa"/>
            <w:left w:w="108" w:type="dxa"/>
            <w:bottom w:w="0" w:type="dxa"/>
            <w:right w:w="108" w:type="dxa"/>
          </w:tblCellMar>
        </w:tblPrEx>
        <w:trPr>
          <w:trHeight w:val="540" w:hRule="atLeast"/>
        </w:trPr>
        <w:tc>
          <w:tcPr>
            <w:tcW w:w="2711" w:type="dxa"/>
            <w:tcBorders>
              <w:top w:val="nil"/>
              <w:left w:val="single" w:color="auto" w:sz="4" w:space="0"/>
              <w:bottom w:val="single" w:color="auto" w:sz="4" w:space="0"/>
              <w:right w:val="single" w:color="auto" w:sz="4" w:space="0"/>
            </w:tcBorders>
            <w:noWrap/>
            <w:vAlign w:val="center"/>
          </w:tcPr>
          <w:p>
            <w:pPr>
              <w:rPr>
                <w:rFonts w:ascii="宋体" w:hAnsi="宋体" w:cs="宋体"/>
                <w:b/>
                <w:bCs/>
                <w:color w:val="000000"/>
              </w:rPr>
            </w:pPr>
            <w:r>
              <w:rPr>
                <w:rFonts w:hint="eastAsia" w:ascii="宋体" w:hAnsi="宋体" w:cs="宋体"/>
                <w:b/>
                <w:bCs/>
                <w:color w:val="000000"/>
              </w:rPr>
              <w:t>合计</w:t>
            </w: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0.08</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-0.08</w:t>
            </w:r>
          </w:p>
        </w:tc>
        <w:tc>
          <w:tcPr>
            <w:tcW w:w="11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-100</w:t>
            </w:r>
          </w:p>
        </w:tc>
      </w:tr>
      <w:tr>
        <w:tblPrEx>
          <w:tblCellMar>
            <w:top w:w="0" w:type="dxa"/>
            <w:left w:w="108" w:type="dxa"/>
            <w:bottom w:w="0" w:type="dxa"/>
            <w:right w:w="108" w:type="dxa"/>
          </w:tblCellMar>
        </w:tblPrEx>
        <w:trPr>
          <w:trHeight w:val="540" w:hRule="atLeast"/>
        </w:trPr>
        <w:tc>
          <w:tcPr>
            <w:tcW w:w="2711" w:type="dxa"/>
            <w:tcBorders>
              <w:top w:val="nil"/>
              <w:left w:val="single" w:color="auto" w:sz="4" w:space="0"/>
              <w:bottom w:val="single" w:color="auto" w:sz="4" w:space="0"/>
              <w:right w:val="single" w:color="auto" w:sz="4" w:space="0"/>
            </w:tcBorders>
            <w:noWrap/>
            <w:vAlign w:val="center"/>
          </w:tcPr>
          <w:p>
            <w:pPr>
              <w:rPr>
                <w:rFonts w:ascii="宋体" w:hAnsi="宋体" w:cs="宋体"/>
                <w:color w:val="000000"/>
                <w:sz w:val="18"/>
                <w:szCs w:val="18"/>
              </w:rPr>
            </w:pPr>
            <w:r>
              <w:rPr>
                <w:rFonts w:hint="eastAsia" w:ascii="宋体" w:hAnsi="宋体" w:cs="宋体"/>
                <w:color w:val="000000"/>
                <w:sz w:val="18"/>
                <w:szCs w:val="18"/>
              </w:rPr>
              <w:t>因公出国（境）费</w:t>
            </w:r>
          </w:p>
        </w:tc>
        <w:tc>
          <w:tcPr>
            <w:tcW w:w="1701"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417"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418"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184"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r>
      <w:tr>
        <w:tblPrEx>
          <w:tblCellMar>
            <w:top w:w="0" w:type="dxa"/>
            <w:left w:w="108" w:type="dxa"/>
            <w:bottom w:w="0" w:type="dxa"/>
            <w:right w:w="108" w:type="dxa"/>
          </w:tblCellMar>
        </w:tblPrEx>
        <w:trPr>
          <w:trHeight w:val="540" w:hRule="atLeast"/>
        </w:trPr>
        <w:tc>
          <w:tcPr>
            <w:tcW w:w="2711"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sz w:val="18"/>
                <w:szCs w:val="18"/>
              </w:rPr>
            </w:pPr>
            <w:r>
              <w:rPr>
                <w:rFonts w:hint="eastAsia" w:ascii="宋体" w:hAnsi="宋体" w:cs="宋体"/>
                <w:color w:val="000000"/>
                <w:sz w:val="18"/>
                <w:szCs w:val="18"/>
              </w:rPr>
              <w:t>公务用车购置及运行维护费</w:t>
            </w: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1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r>
      <w:tr>
        <w:tblPrEx>
          <w:tblCellMar>
            <w:top w:w="0" w:type="dxa"/>
            <w:left w:w="108" w:type="dxa"/>
            <w:bottom w:w="0" w:type="dxa"/>
            <w:right w:w="108" w:type="dxa"/>
          </w:tblCellMar>
        </w:tblPrEx>
        <w:trPr>
          <w:trHeight w:val="540" w:hRule="atLeast"/>
        </w:trPr>
        <w:tc>
          <w:tcPr>
            <w:tcW w:w="2711"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sz w:val="18"/>
                <w:szCs w:val="18"/>
              </w:rPr>
            </w:pPr>
            <w:r>
              <w:rPr>
                <w:rFonts w:hint="eastAsia" w:ascii="宋体" w:hAnsi="宋体" w:cs="宋体"/>
                <w:color w:val="000000"/>
                <w:sz w:val="18"/>
                <w:szCs w:val="18"/>
              </w:rPr>
              <w:t xml:space="preserve">   其中：公务用车购置费</w:t>
            </w: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1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r>
      <w:tr>
        <w:tblPrEx>
          <w:tblCellMar>
            <w:top w:w="0" w:type="dxa"/>
            <w:left w:w="108" w:type="dxa"/>
            <w:bottom w:w="0" w:type="dxa"/>
            <w:right w:w="108" w:type="dxa"/>
          </w:tblCellMar>
        </w:tblPrEx>
        <w:trPr>
          <w:trHeight w:val="540" w:hRule="atLeast"/>
        </w:trPr>
        <w:tc>
          <w:tcPr>
            <w:tcW w:w="2711"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sz w:val="18"/>
                <w:szCs w:val="18"/>
              </w:rPr>
            </w:pPr>
            <w:r>
              <w:rPr>
                <w:rFonts w:hint="eastAsia" w:ascii="宋体" w:hAnsi="宋体" w:cs="宋体"/>
                <w:color w:val="000000"/>
                <w:sz w:val="18"/>
                <w:szCs w:val="18"/>
              </w:rPr>
              <w:t xml:space="preserve">        公务用车运行维护费</w:t>
            </w: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1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r>
      <w:tr>
        <w:tblPrEx>
          <w:tblCellMar>
            <w:top w:w="0" w:type="dxa"/>
            <w:left w:w="108" w:type="dxa"/>
            <w:bottom w:w="0" w:type="dxa"/>
            <w:right w:w="108" w:type="dxa"/>
          </w:tblCellMar>
        </w:tblPrEx>
        <w:trPr>
          <w:trHeight w:val="540" w:hRule="atLeast"/>
        </w:trPr>
        <w:tc>
          <w:tcPr>
            <w:tcW w:w="2711"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sz w:val="18"/>
                <w:szCs w:val="18"/>
              </w:rPr>
            </w:pPr>
            <w:r>
              <w:rPr>
                <w:rFonts w:hint="eastAsia" w:ascii="宋体" w:hAnsi="宋体" w:cs="宋体"/>
                <w:color w:val="000000"/>
                <w:sz w:val="18"/>
                <w:szCs w:val="18"/>
              </w:rPr>
              <w:t>公务接待费</w:t>
            </w:r>
          </w:p>
        </w:tc>
        <w:tc>
          <w:tcPr>
            <w:tcW w:w="1701"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417"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0.08</w:t>
            </w:r>
          </w:p>
        </w:tc>
        <w:tc>
          <w:tcPr>
            <w:tcW w:w="1418"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-0.08</w:t>
            </w:r>
          </w:p>
        </w:tc>
        <w:tc>
          <w:tcPr>
            <w:tcW w:w="1184"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-100</w:t>
            </w:r>
          </w:p>
        </w:tc>
      </w:tr>
    </w:tbl>
    <w:p>
      <w:pPr>
        <w:ind w:firstLine="636"/>
        <w:rPr>
          <w:rFonts w:ascii="仿宋_GB2312" w:hAnsi="仿宋" w:eastAsia="仿宋_GB2312"/>
          <w:b/>
          <w:sz w:val="32"/>
          <w:szCs w:val="32"/>
        </w:rPr>
      </w:pPr>
      <w:r>
        <w:rPr>
          <w:rFonts w:hint="eastAsia" w:ascii="仿宋_GB2312" w:hAnsi="仿宋" w:eastAsia="仿宋_GB2312"/>
          <w:b/>
          <w:sz w:val="32"/>
          <w:szCs w:val="32"/>
        </w:rPr>
        <w:t>（3）具体情况说明</w:t>
      </w:r>
    </w:p>
    <w:p>
      <w:pPr>
        <w:ind w:firstLine="560" w:firstLineChars="200"/>
        <w:rPr>
          <w:rFonts w:ascii="微软雅黑" w:hAnsi="微软雅黑" w:cs="宋体"/>
          <w:color w:val="000000"/>
          <w:sz w:val="28"/>
          <w:szCs w:val="28"/>
        </w:rPr>
      </w:pPr>
      <w:r>
        <w:rPr>
          <w:rFonts w:hint="eastAsia" w:ascii="微软雅黑" w:hAnsi="微软雅黑"/>
          <w:sz w:val="28"/>
          <w:szCs w:val="28"/>
        </w:rPr>
        <w:t>2021年一般公共预算安排的“三公”经费年初预算0.2万元，支出决算</w:t>
      </w:r>
      <w:r>
        <w:rPr>
          <w:rFonts w:hint="eastAsia" w:ascii="微软雅黑" w:hAnsi="微软雅黑" w:cs="宋体"/>
          <w:sz w:val="28"/>
          <w:szCs w:val="28"/>
        </w:rPr>
        <w:t>　0</w:t>
      </w:r>
      <w:r>
        <w:rPr>
          <w:rFonts w:hint="eastAsia" w:ascii="微软雅黑" w:hAnsi="微软雅黑"/>
          <w:sz w:val="28"/>
          <w:szCs w:val="28"/>
        </w:rPr>
        <w:t>万元，完成年初预算的0%，比上年减少0.08万元，增长-100%。其中：因公出国（境）费用年初预算0万元，支出决算0万元，完成年初预算的0%，比上年增加0万元，增长0%，原因是我单位2021年度未发生因公出国（境）费用（</w:t>
      </w:r>
      <w:r>
        <w:rPr>
          <w:rFonts w:ascii="微软雅黑" w:hAnsi="微软雅黑"/>
          <w:sz w:val="28"/>
          <w:szCs w:val="28"/>
        </w:rPr>
        <w:t>全年使用一般公共预算拨款支出安排的出国（境）团组</w:t>
      </w:r>
      <w:r>
        <w:rPr>
          <w:rFonts w:hint="eastAsia" w:ascii="微软雅黑" w:hAnsi="微软雅黑"/>
          <w:sz w:val="28"/>
          <w:szCs w:val="28"/>
        </w:rPr>
        <w:t>0</w:t>
      </w:r>
      <w:r>
        <w:rPr>
          <w:rFonts w:ascii="微软雅黑" w:hAnsi="微软雅黑"/>
          <w:sz w:val="28"/>
          <w:szCs w:val="28"/>
        </w:rPr>
        <w:t>个，累计</w:t>
      </w:r>
      <w:r>
        <w:rPr>
          <w:rFonts w:hint="eastAsia" w:ascii="微软雅黑" w:hAnsi="微软雅黑"/>
          <w:sz w:val="28"/>
          <w:szCs w:val="28"/>
        </w:rPr>
        <w:t>0</w:t>
      </w:r>
      <w:r>
        <w:rPr>
          <w:rFonts w:ascii="微软雅黑" w:hAnsi="微软雅黑"/>
          <w:sz w:val="28"/>
          <w:szCs w:val="28"/>
        </w:rPr>
        <w:t>人次</w:t>
      </w:r>
      <w:r>
        <w:rPr>
          <w:rFonts w:hint="eastAsia" w:ascii="微软雅黑" w:hAnsi="微软雅黑"/>
          <w:sz w:val="28"/>
          <w:szCs w:val="28"/>
        </w:rPr>
        <w:t>）；其中公务用车购置及运行维护费用年初预算</w:t>
      </w:r>
      <w:r>
        <w:rPr>
          <w:rFonts w:hint="eastAsia" w:ascii="微软雅黑" w:hAnsi="微软雅黑" w:cs="宋体"/>
          <w:sz w:val="28"/>
          <w:szCs w:val="28"/>
        </w:rPr>
        <w:t>　0</w:t>
      </w:r>
      <w:r>
        <w:rPr>
          <w:rFonts w:hint="eastAsia" w:ascii="微软雅黑" w:hAnsi="微软雅黑"/>
          <w:sz w:val="28"/>
          <w:szCs w:val="28"/>
        </w:rPr>
        <w:t>万元，支出决算</w:t>
      </w:r>
      <w:r>
        <w:rPr>
          <w:rFonts w:hint="eastAsia" w:ascii="微软雅黑" w:hAnsi="微软雅黑" w:cs="宋体"/>
          <w:sz w:val="28"/>
          <w:szCs w:val="28"/>
        </w:rPr>
        <w:t>　0</w:t>
      </w:r>
      <w:r>
        <w:rPr>
          <w:rFonts w:hint="eastAsia" w:ascii="微软雅黑" w:hAnsi="微软雅黑"/>
          <w:sz w:val="28"/>
          <w:szCs w:val="28"/>
        </w:rPr>
        <w:t>万元，完成年初预算的0%</w:t>
      </w:r>
      <w:r>
        <w:rPr>
          <w:rFonts w:hint="eastAsia" w:ascii="微软雅黑" w:hAnsi="微软雅黑"/>
          <w:color w:val="000000"/>
          <w:sz w:val="28"/>
          <w:szCs w:val="28"/>
        </w:rPr>
        <w:t>，比上年增加0万元，增长0%（具体：其中公务用车购置费年</w:t>
      </w:r>
      <w:r>
        <w:rPr>
          <w:rFonts w:hint="eastAsia" w:ascii="微软雅黑" w:hAnsi="微软雅黑"/>
          <w:sz w:val="28"/>
          <w:szCs w:val="28"/>
        </w:rPr>
        <w:t>初预算</w:t>
      </w:r>
      <w:r>
        <w:rPr>
          <w:rFonts w:hint="eastAsia" w:ascii="微软雅黑" w:hAnsi="微软雅黑" w:cs="宋体"/>
          <w:color w:val="000000"/>
          <w:sz w:val="28"/>
          <w:szCs w:val="28"/>
        </w:rPr>
        <w:t>　0</w:t>
      </w:r>
      <w:r>
        <w:rPr>
          <w:rFonts w:hint="eastAsia" w:ascii="微软雅黑" w:hAnsi="微软雅黑"/>
          <w:sz w:val="28"/>
          <w:szCs w:val="28"/>
        </w:rPr>
        <w:t>万元，支出决算</w:t>
      </w:r>
      <w:r>
        <w:rPr>
          <w:rFonts w:hint="eastAsia" w:ascii="微软雅黑" w:hAnsi="微软雅黑" w:cs="宋体"/>
          <w:color w:val="000000"/>
          <w:sz w:val="28"/>
          <w:szCs w:val="28"/>
        </w:rPr>
        <w:t>　0</w:t>
      </w:r>
      <w:r>
        <w:rPr>
          <w:rFonts w:hint="eastAsia" w:ascii="微软雅黑" w:hAnsi="微软雅黑"/>
          <w:sz w:val="28"/>
          <w:szCs w:val="28"/>
        </w:rPr>
        <w:t>万元，完成年初预算的0%</w:t>
      </w:r>
      <w:r>
        <w:rPr>
          <w:rFonts w:hint="eastAsia" w:ascii="微软雅黑" w:hAnsi="微软雅黑"/>
          <w:color w:val="000000"/>
          <w:sz w:val="28"/>
          <w:szCs w:val="28"/>
        </w:rPr>
        <w:t>，比上年增加0万元，增长0%，原因是无；公务用车运行维护费年</w:t>
      </w:r>
      <w:r>
        <w:rPr>
          <w:rFonts w:hint="eastAsia" w:ascii="微软雅黑" w:hAnsi="微软雅黑"/>
          <w:sz w:val="28"/>
          <w:szCs w:val="28"/>
        </w:rPr>
        <w:t>初预算</w:t>
      </w:r>
      <w:r>
        <w:rPr>
          <w:rFonts w:hint="eastAsia" w:ascii="微软雅黑" w:hAnsi="微软雅黑" w:cs="宋体"/>
          <w:color w:val="000000"/>
          <w:sz w:val="28"/>
          <w:szCs w:val="28"/>
        </w:rPr>
        <w:t>　0</w:t>
      </w:r>
      <w:r>
        <w:rPr>
          <w:rFonts w:hint="eastAsia" w:ascii="微软雅黑" w:hAnsi="微软雅黑"/>
          <w:sz w:val="28"/>
          <w:szCs w:val="28"/>
        </w:rPr>
        <w:t>万元，支出决算</w:t>
      </w:r>
      <w:r>
        <w:rPr>
          <w:rFonts w:hint="eastAsia" w:ascii="微软雅黑" w:hAnsi="微软雅黑" w:cs="宋体"/>
          <w:color w:val="000000"/>
          <w:sz w:val="28"/>
          <w:szCs w:val="28"/>
        </w:rPr>
        <w:t>　0</w:t>
      </w:r>
      <w:r>
        <w:rPr>
          <w:rFonts w:hint="eastAsia" w:ascii="微软雅黑" w:hAnsi="微软雅黑"/>
          <w:sz w:val="28"/>
          <w:szCs w:val="28"/>
        </w:rPr>
        <w:t>万元，完成年初预算的0%</w:t>
      </w:r>
      <w:r>
        <w:rPr>
          <w:rFonts w:hint="eastAsia" w:ascii="微软雅黑" w:hAnsi="微软雅黑"/>
          <w:color w:val="000000"/>
          <w:sz w:val="28"/>
          <w:szCs w:val="28"/>
        </w:rPr>
        <w:t>，比上年增加0万元，增长0%，原因是无）；公务接待费年</w:t>
      </w:r>
      <w:r>
        <w:rPr>
          <w:rFonts w:hint="eastAsia" w:ascii="微软雅黑" w:hAnsi="微软雅黑"/>
          <w:sz w:val="28"/>
          <w:szCs w:val="28"/>
        </w:rPr>
        <w:t>初预算</w:t>
      </w:r>
      <w:r>
        <w:rPr>
          <w:rFonts w:hint="eastAsia" w:ascii="微软雅黑" w:hAnsi="微软雅黑" w:cs="宋体"/>
          <w:color w:val="000000"/>
          <w:sz w:val="28"/>
          <w:szCs w:val="28"/>
        </w:rPr>
        <w:t>　0</w:t>
      </w:r>
      <w:r>
        <w:rPr>
          <w:rFonts w:hint="eastAsia" w:ascii="微软雅黑" w:hAnsi="微软雅黑"/>
          <w:sz w:val="28"/>
          <w:szCs w:val="28"/>
        </w:rPr>
        <w:t>万元，支出决算</w:t>
      </w:r>
      <w:r>
        <w:rPr>
          <w:rFonts w:hint="eastAsia" w:ascii="微软雅黑" w:hAnsi="微软雅黑" w:cs="宋体"/>
          <w:color w:val="000000"/>
          <w:sz w:val="28"/>
          <w:szCs w:val="28"/>
        </w:rPr>
        <w:t>　0</w:t>
      </w:r>
      <w:r>
        <w:rPr>
          <w:rFonts w:hint="eastAsia" w:ascii="微软雅黑" w:hAnsi="微软雅黑"/>
          <w:sz w:val="28"/>
          <w:szCs w:val="28"/>
        </w:rPr>
        <w:t>万元，完成年初预算的0%</w:t>
      </w:r>
      <w:r>
        <w:rPr>
          <w:rFonts w:hint="eastAsia" w:ascii="微软雅黑" w:hAnsi="微软雅黑"/>
          <w:color w:val="000000"/>
          <w:sz w:val="28"/>
          <w:szCs w:val="28"/>
        </w:rPr>
        <w:t>，比上年增加0万元，增长0%，原因是无（全年</w:t>
      </w:r>
      <w:r>
        <w:rPr>
          <w:rFonts w:ascii="微软雅黑" w:hAnsi="微软雅黑"/>
          <w:color w:val="000000"/>
          <w:sz w:val="28"/>
          <w:szCs w:val="28"/>
        </w:rPr>
        <w:t>年使用一般公共预算拨款开支的国内公务接待</w:t>
      </w:r>
      <w:r>
        <w:rPr>
          <w:rFonts w:hint="eastAsia" w:ascii="微软雅黑" w:hAnsi="微软雅黑"/>
          <w:color w:val="000000"/>
          <w:sz w:val="28"/>
          <w:szCs w:val="28"/>
        </w:rPr>
        <w:t>0</w:t>
      </w:r>
      <w:r>
        <w:rPr>
          <w:rFonts w:ascii="微软雅黑" w:hAnsi="微软雅黑"/>
          <w:color w:val="000000"/>
          <w:sz w:val="28"/>
          <w:szCs w:val="28"/>
        </w:rPr>
        <w:t>批次，</w:t>
      </w:r>
      <w:r>
        <w:rPr>
          <w:rFonts w:hint="eastAsia" w:ascii="微软雅黑" w:hAnsi="微软雅黑"/>
          <w:color w:val="000000"/>
          <w:sz w:val="28"/>
          <w:szCs w:val="28"/>
        </w:rPr>
        <w:t>0</w:t>
      </w:r>
      <w:r>
        <w:rPr>
          <w:rFonts w:ascii="微软雅黑" w:hAnsi="微软雅黑"/>
          <w:color w:val="000000"/>
          <w:sz w:val="28"/>
          <w:szCs w:val="28"/>
        </w:rPr>
        <w:t>人次</w:t>
      </w:r>
      <w:r>
        <w:rPr>
          <w:rFonts w:hint="eastAsia" w:ascii="微软雅黑" w:hAnsi="微软雅黑"/>
          <w:color w:val="000000"/>
          <w:sz w:val="28"/>
          <w:szCs w:val="28"/>
        </w:rPr>
        <w:t>。）</w:t>
      </w:r>
    </w:p>
    <w:p>
      <w:pPr>
        <w:spacing w:line="220" w:lineRule="atLeast"/>
        <w:ind w:firstLine="560" w:firstLineChars="200"/>
        <w:rPr>
          <w:b/>
          <w:sz w:val="28"/>
          <w:szCs w:val="28"/>
        </w:rPr>
      </w:pPr>
      <w:r>
        <w:rPr>
          <w:rFonts w:hint="eastAsia"/>
          <w:b/>
          <w:sz w:val="28"/>
          <w:szCs w:val="28"/>
        </w:rPr>
        <w:t>八、其他重要事项情况说明</w:t>
      </w:r>
    </w:p>
    <w:p>
      <w:pPr>
        <w:spacing w:line="220" w:lineRule="atLeast"/>
        <w:ind w:firstLine="560" w:firstLineChars="200"/>
        <w:rPr>
          <w:b/>
          <w:sz w:val="28"/>
          <w:szCs w:val="28"/>
        </w:rPr>
      </w:pPr>
      <w:r>
        <w:rPr>
          <w:rFonts w:hint="eastAsia"/>
          <w:b/>
          <w:sz w:val="28"/>
          <w:szCs w:val="28"/>
        </w:rPr>
        <w:t>（一）机关运行经费支出情况说明</w:t>
      </w:r>
    </w:p>
    <w:p>
      <w:pPr>
        <w:spacing w:line="220" w:lineRule="atLeast"/>
        <w:ind w:firstLine="560" w:firstLineChars="200"/>
        <w:rPr>
          <w:rFonts w:hint="eastAsia"/>
          <w:sz w:val="28"/>
          <w:szCs w:val="28"/>
        </w:rPr>
      </w:pPr>
      <w:r>
        <w:rPr>
          <w:rFonts w:hint="eastAsia"/>
          <w:sz w:val="28"/>
          <w:szCs w:val="28"/>
        </w:rPr>
        <w:t>2021年机关运行经费支出7.4万元，比上年减少2.1万元，增长-28.38%。主要原因是：减少开支厉行节约。</w:t>
      </w:r>
    </w:p>
    <w:p>
      <w:pPr>
        <w:spacing w:line="220" w:lineRule="atLeast"/>
        <w:ind w:firstLine="560" w:firstLineChars="200"/>
        <w:rPr>
          <w:b/>
          <w:sz w:val="28"/>
          <w:szCs w:val="28"/>
        </w:rPr>
      </w:pPr>
      <w:bookmarkStart w:id="0" w:name="_GoBack"/>
      <w:bookmarkEnd w:id="0"/>
      <w:r>
        <w:rPr>
          <w:rFonts w:hint="eastAsia"/>
          <w:b/>
          <w:sz w:val="28"/>
          <w:szCs w:val="28"/>
        </w:rPr>
        <w:t>（二）政府采购情况说明</w:t>
      </w:r>
    </w:p>
    <w:p>
      <w:pPr>
        <w:spacing w:line="220" w:lineRule="atLeast"/>
        <w:ind w:firstLine="560" w:firstLineChars="200"/>
        <w:rPr>
          <w:sz w:val="28"/>
          <w:szCs w:val="28"/>
        </w:rPr>
      </w:pPr>
      <w:r>
        <w:rPr>
          <w:rFonts w:hint="eastAsia"/>
          <w:sz w:val="28"/>
          <w:szCs w:val="28"/>
        </w:rPr>
        <w:t>2021年度政府采购支出总额2.83万元，其中：政府采购货物支出2.83万元、政府采购工程支出0万元、政府采购服务支出0万元。政府采购授予中小企业合同金额0万元，占政府采购支出总额的0%。其中：授予小微企业合同金额0万元，占政府采购支出总额的0%.</w:t>
      </w:r>
    </w:p>
    <w:p>
      <w:pPr>
        <w:spacing w:line="220" w:lineRule="atLeast"/>
        <w:ind w:firstLine="560" w:firstLineChars="200"/>
        <w:rPr>
          <w:b/>
          <w:sz w:val="28"/>
          <w:szCs w:val="28"/>
        </w:rPr>
      </w:pPr>
      <w:r>
        <w:rPr>
          <w:rFonts w:hint="eastAsia"/>
          <w:b/>
          <w:sz w:val="28"/>
          <w:szCs w:val="28"/>
        </w:rPr>
        <w:t>（三）国有资产占用情况说明</w:t>
      </w:r>
    </w:p>
    <w:p>
      <w:pPr>
        <w:spacing w:line="220" w:lineRule="atLeast"/>
        <w:ind w:firstLine="560" w:firstLineChars="200"/>
        <w:rPr>
          <w:sz w:val="28"/>
          <w:szCs w:val="28"/>
        </w:rPr>
      </w:pPr>
      <w:r>
        <w:rPr>
          <w:rFonts w:hint="eastAsia"/>
          <w:sz w:val="28"/>
          <w:szCs w:val="28"/>
        </w:rPr>
        <w:t>（1）房屋情况</w:t>
      </w:r>
    </w:p>
    <w:p>
      <w:pPr>
        <w:spacing w:line="220" w:lineRule="atLeast"/>
        <w:ind w:firstLine="560" w:firstLineChars="200"/>
        <w:rPr>
          <w:sz w:val="28"/>
          <w:szCs w:val="28"/>
        </w:rPr>
      </w:pPr>
      <w:r>
        <w:rPr>
          <w:rFonts w:hint="eastAsia"/>
          <w:sz w:val="28"/>
          <w:szCs w:val="28"/>
        </w:rPr>
        <w:t>截至2021年12月31日，本部门共有房屋90平方米，为占用机关后勤中心房屋，其中办公用房90平方米，为占用机关后勤中心房屋；业务用房0平方米，价值为0万元；其他（不含构筑物）0平方米，价值为0万元。</w:t>
      </w:r>
    </w:p>
    <w:p>
      <w:pPr>
        <w:spacing w:line="220" w:lineRule="atLeast"/>
        <w:ind w:firstLine="560" w:firstLineChars="200"/>
        <w:rPr>
          <w:sz w:val="28"/>
          <w:szCs w:val="28"/>
        </w:rPr>
      </w:pPr>
      <w:r>
        <w:rPr>
          <w:rFonts w:hint="eastAsia"/>
          <w:sz w:val="28"/>
          <w:szCs w:val="28"/>
        </w:rPr>
        <w:t>（2）车辆及设备情况</w:t>
      </w:r>
    </w:p>
    <w:p>
      <w:pPr>
        <w:spacing w:line="220" w:lineRule="atLeast"/>
        <w:ind w:firstLine="560" w:firstLineChars="200"/>
        <w:rPr>
          <w:sz w:val="28"/>
          <w:szCs w:val="28"/>
        </w:rPr>
      </w:pPr>
      <w:r>
        <w:rPr>
          <w:rFonts w:hint="eastAsia"/>
          <w:sz w:val="28"/>
          <w:szCs w:val="28"/>
        </w:rPr>
        <w:t>截至2021年12月31日，本部门共有车辆0辆。其中，副部（省）级及以上领导用车0辆、主要领导干部用车0辆、机要通信用车0辆、应急保障用车0辆、执法执勤用车0辆、特种专业技术用车0辆、离退休干部用车0辆、其他用车0辆，其他用车主要是无；单价50万元（含）以上的通用设备0台（套），单价100万元（含）以上专用设备0台（套）。</w:t>
      </w:r>
    </w:p>
    <w:p>
      <w:pPr>
        <w:spacing w:line="220" w:lineRule="atLeast"/>
        <w:ind w:firstLine="560" w:firstLineChars="200"/>
        <w:rPr>
          <w:b/>
          <w:sz w:val="28"/>
          <w:szCs w:val="28"/>
        </w:rPr>
      </w:pPr>
      <w:r>
        <w:rPr>
          <w:rFonts w:hint="eastAsia"/>
          <w:b/>
          <w:sz w:val="28"/>
          <w:szCs w:val="28"/>
        </w:rPr>
        <w:t>（四）预算绩效情况说明</w:t>
      </w:r>
    </w:p>
    <w:p>
      <w:pPr>
        <w:spacing w:line="220" w:lineRule="atLeast"/>
        <w:ind w:firstLine="560" w:firstLineChars="200"/>
        <w:rPr>
          <w:b/>
          <w:sz w:val="28"/>
          <w:szCs w:val="28"/>
        </w:rPr>
      </w:pPr>
      <w:r>
        <w:rPr>
          <w:rFonts w:hint="eastAsia"/>
          <w:b/>
          <w:sz w:val="28"/>
          <w:szCs w:val="28"/>
        </w:rPr>
        <w:t>（1）预算绩效管理工作开展情况。</w:t>
      </w:r>
    </w:p>
    <w:p>
      <w:pPr>
        <w:spacing w:line="220" w:lineRule="atLeast"/>
        <w:ind w:firstLine="560" w:firstLineChars="200"/>
        <w:rPr>
          <w:sz w:val="28"/>
          <w:szCs w:val="28"/>
        </w:rPr>
      </w:pPr>
      <w:r>
        <w:rPr>
          <w:rFonts w:hint="eastAsia"/>
          <w:sz w:val="28"/>
          <w:szCs w:val="28"/>
        </w:rPr>
        <w:t>根据预算绩效管理要求，我部门组织对2021年度县级财政预算安排的专项资金类0个项目支出全面开展绩效自评，涉及预算资金0万元，占一般公共预算项目支出总额的0%。组织对2021年度0个政府性基金预算项目支出开展绩效自评，共涉及预算资金0万元，占政府性基金预算项目支出总额的0%。</w:t>
      </w:r>
    </w:p>
    <w:p>
      <w:pPr>
        <w:spacing w:line="220" w:lineRule="atLeast"/>
        <w:ind w:firstLine="560" w:firstLineChars="200"/>
        <w:rPr>
          <w:rFonts w:hint="eastAsia"/>
          <w:sz w:val="28"/>
          <w:szCs w:val="28"/>
          <w:lang w:eastAsia="zh-CN"/>
        </w:rPr>
      </w:pPr>
      <w:r>
        <w:rPr>
          <w:rFonts w:hint="eastAsia"/>
          <w:sz w:val="28"/>
          <w:szCs w:val="28"/>
        </w:rPr>
        <w:t>组织对0个项目开展了部门评价，涉及一般公共预算支出0万元，政府性基金预算支出0万元。其中，对0个项目分别委托0个第三方机构开展绩效评价。从评价情况来看， 本</w:t>
      </w:r>
      <w:r>
        <w:rPr>
          <w:rFonts w:hint="eastAsia"/>
          <w:sz w:val="28"/>
          <w:szCs w:val="28"/>
          <w:lang w:eastAsia="zh-CN"/>
        </w:rPr>
        <w:t>部门</w:t>
      </w:r>
      <w:r>
        <w:rPr>
          <w:rFonts w:hint="eastAsia"/>
          <w:sz w:val="28"/>
          <w:szCs w:val="28"/>
        </w:rPr>
        <w:t>无</w:t>
      </w:r>
      <w:r>
        <w:rPr>
          <w:rFonts w:hint="eastAsia"/>
          <w:sz w:val="28"/>
          <w:szCs w:val="28"/>
          <w:lang w:eastAsia="zh-CN"/>
        </w:rPr>
        <w:t>项目自评。</w:t>
      </w:r>
    </w:p>
    <w:p>
      <w:pPr>
        <w:spacing w:line="220" w:lineRule="atLeast"/>
        <w:ind w:firstLine="560" w:firstLineChars="200"/>
        <w:rPr>
          <w:rFonts w:hint="eastAsia" w:eastAsia="微软雅黑"/>
          <w:sz w:val="28"/>
          <w:szCs w:val="28"/>
          <w:lang w:eastAsia="zh-CN"/>
        </w:rPr>
      </w:pPr>
      <w:r>
        <w:rPr>
          <w:rFonts w:hint="eastAsia"/>
          <w:sz w:val="28"/>
          <w:szCs w:val="28"/>
        </w:rPr>
        <w:t>组织对0个单位开展整体绩效评价试点，涉及一般公共预算支出0万元，政府性基金预算支出0万元。其中，对0个单位整体绩效评价分别委托0个第三方机构实施。从评价情况来看， 本</w:t>
      </w:r>
      <w:r>
        <w:rPr>
          <w:rFonts w:hint="eastAsia"/>
          <w:sz w:val="28"/>
          <w:szCs w:val="28"/>
          <w:lang w:eastAsia="zh-CN"/>
        </w:rPr>
        <w:t>部门</w:t>
      </w:r>
      <w:r>
        <w:rPr>
          <w:rFonts w:hint="eastAsia"/>
          <w:sz w:val="28"/>
          <w:szCs w:val="28"/>
        </w:rPr>
        <w:t>无</w:t>
      </w:r>
      <w:r>
        <w:rPr>
          <w:rFonts w:hint="eastAsia"/>
          <w:sz w:val="28"/>
          <w:szCs w:val="28"/>
          <w:lang w:eastAsia="zh-CN"/>
        </w:rPr>
        <w:t>项目自评。</w:t>
      </w:r>
    </w:p>
    <w:p>
      <w:pPr>
        <w:spacing w:line="220" w:lineRule="atLeast"/>
        <w:ind w:firstLine="560" w:firstLineChars="200"/>
        <w:rPr>
          <w:sz w:val="28"/>
          <w:szCs w:val="28"/>
        </w:rPr>
      </w:pPr>
      <w:r>
        <w:rPr>
          <w:rFonts w:hint="eastAsia"/>
          <w:b/>
          <w:sz w:val="28"/>
          <w:szCs w:val="28"/>
        </w:rPr>
        <w:t>（2）部门决算中项目绩效自评结果。</w:t>
      </w:r>
      <w:r>
        <w:rPr>
          <w:rFonts w:hint="eastAsia"/>
          <w:sz w:val="28"/>
          <w:szCs w:val="28"/>
        </w:rPr>
        <w:t>项目绩效自评综述：本部门无绩效目标项目。</w:t>
      </w:r>
    </w:p>
    <w:p>
      <w:pPr>
        <w:spacing w:line="220" w:lineRule="atLeast"/>
        <w:ind w:firstLine="560" w:firstLineChars="200"/>
        <w:rPr>
          <w:sz w:val="28"/>
          <w:szCs w:val="28"/>
        </w:rPr>
      </w:pPr>
      <w:r>
        <w:rPr>
          <w:rFonts w:hint="eastAsia"/>
          <w:b/>
          <w:sz w:val="28"/>
          <w:szCs w:val="28"/>
        </w:rPr>
        <w:t>（3）部门评价项目绩效评价结果。</w:t>
      </w:r>
      <w:r>
        <w:rPr>
          <w:rFonts w:hint="eastAsia"/>
          <w:sz w:val="28"/>
          <w:szCs w:val="28"/>
        </w:rPr>
        <w:t>本部门无部门评价报告。</w:t>
      </w:r>
    </w:p>
    <w:p>
      <w:pPr>
        <w:spacing w:line="220" w:lineRule="atLeast"/>
        <w:ind w:firstLine="420" w:firstLineChars="150"/>
        <w:rPr>
          <w:b/>
          <w:sz w:val="28"/>
          <w:szCs w:val="28"/>
        </w:rPr>
      </w:pPr>
      <w:r>
        <w:rPr>
          <w:rFonts w:hint="eastAsia"/>
          <w:b/>
          <w:sz w:val="28"/>
          <w:szCs w:val="28"/>
        </w:rPr>
        <w:t>（五）其他需要说明的事项</w:t>
      </w:r>
    </w:p>
    <w:p>
      <w:pPr>
        <w:ind w:firstLine="643" w:firstLineChars="200"/>
        <w:rPr>
          <w:rFonts w:ascii="微软雅黑" w:hAnsi="微软雅黑" w:cs="宋体"/>
          <w:color w:val="000000"/>
          <w:sz w:val="28"/>
          <w:szCs w:val="28"/>
        </w:rPr>
      </w:pPr>
      <w:r>
        <w:rPr>
          <w:rFonts w:hint="eastAsia" w:ascii="仿宋_GB2312" w:hAnsi="仿宋" w:eastAsia="仿宋_GB2312"/>
          <w:b/>
          <w:sz w:val="32"/>
          <w:szCs w:val="32"/>
        </w:rPr>
        <w:t>1、培训费：</w:t>
      </w:r>
      <w:r>
        <w:rPr>
          <w:rFonts w:hint="eastAsia" w:ascii="微软雅黑" w:hAnsi="微软雅黑"/>
          <w:sz w:val="28"/>
          <w:szCs w:val="28"/>
        </w:rPr>
        <w:t>全</w:t>
      </w:r>
      <w:r>
        <w:rPr>
          <w:rFonts w:ascii="微软雅黑" w:hAnsi="微软雅黑"/>
          <w:sz w:val="28"/>
          <w:szCs w:val="28"/>
        </w:rPr>
        <w:t>年一般公共预算拨款安排的培训费决算</w:t>
      </w:r>
      <w:r>
        <w:rPr>
          <w:rFonts w:hint="eastAsia" w:ascii="微软雅黑" w:hAnsi="微软雅黑"/>
          <w:color w:val="000000"/>
          <w:sz w:val="28"/>
          <w:szCs w:val="28"/>
        </w:rPr>
        <w:t>年</w:t>
      </w:r>
      <w:r>
        <w:rPr>
          <w:rFonts w:hint="eastAsia" w:ascii="微软雅黑" w:hAnsi="微软雅黑"/>
          <w:sz w:val="28"/>
          <w:szCs w:val="28"/>
        </w:rPr>
        <w:t>初预算0.2万元，支出决算0.09万元，完成年初预算的45%</w:t>
      </w:r>
      <w:r>
        <w:rPr>
          <w:rFonts w:hint="eastAsia" w:ascii="微软雅黑" w:hAnsi="微软雅黑"/>
          <w:color w:val="000000"/>
          <w:sz w:val="28"/>
          <w:szCs w:val="28"/>
        </w:rPr>
        <w:t>，比上年增加-0.68万元，增长-87.53%，原因是根据实际情况开展工作</w:t>
      </w:r>
      <w:r>
        <w:rPr>
          <w:rFonts w:ascii="微软雅黑" w:hAnsi="微软雅黑"/>
          <w:sz w:val="28"/>
          <w:szCs w:val="28"/>
        </w:rPr>
        <w:t>。20</w:t>
      </w:r>
      <w:r>
        <w:rPr>
          <w:rFonts w:hint="eastAsia" w:ascii="微软雅黑" w:hAnsi="微软雅黑"/>
          <w:sz w:val="28"/>
          <w:szCs w:val="28"/>
        </w:rPr>
        <w:t>21</w:t>
      </w:r>
      <w:r>
        <w:rPr>
          <w:rFonts w:ascii="微软雅黑" w:hAnsi="微软雅黑"/>
          <w:sz w:val="28"/>
          <w:szCs w:val="28"/>
        </w:rPr>
        <w:t>年度全年组织培训</w:t>
      </w:r>
      <w:r>
        <w:rPr>
          <w:rFonts w:hint="eastAsia" w:ascii="微软雅黑" w:hAnsi="微软雅黑"/>
          <w:sz w:val="28"/>
          <w:szCs w:val="28"/>
        </w:rPr>
        <w:t>2</w:t>
      </w:r>
      <w:r>
        <w:rPr>
          <w:rFonts w:ascii="微软雅黑" w:hAnsi="微软雅黑"/>
          <w:sz w:val="28"/>
          <w:szCs w:val="28"/>
        </w:rPr>
        <w:t>个，组织培训</w:t>
      </w:r>
      <w:r>
        <w:rPr>
          <w:rFonts w:hint="eastAsia" w:ascii="微软雅黑" w:hAnsi="微软雅黑"/>
          <w:sz w:val="28"/>
          <w:szCs w:val="28"/>
        </w:rPr>
        <w:t>14</w:t>
      </w:r>
      <w:r>
        <w:rPr>
          <w:rFonts w:ascii="微软雅黑" w:hAnsi="微软雅黑"/>
          <w:sz w:val="28"/>
          <w:szCs w:val="28"/>
        </w:rPr>
        <w:t>人次。主要为</w:t>
      </w:r>
      <w:r>
        <w:rPr>
          <w:rFonts w:hint="eastAsia" w:ascii="微软雅黑" w:hAnsi="微软雅黑"/>
          <w:sz w:val="28"/>
          <w:szCs w:val="28"/>
        </w:rPr>
        <w:t>救护师培训</w:t>
      </w:r>
      <w:r>
        <w:rPr>
          <w:rFonts w:ascii="微软雅黑" w:hAnsi="微软雅黑"/>
          <w:sz w:val="28"/>
          <w:szCs w:val="28"/>
        </w:rPr>
        <w:t>。</w:t>
      </w:r>
    </w:p>
    <w:tbl>
      <w:tblPr>
        <w:tblStyle w:val="5"/>
        <w:tblW w:w="8664" w:type="dxa"/>
        <w:tblInd w:w="91" w:type="dxa"/>
        <w:tblLayout w:type="autofit"/>
        <w:tblCellMar>
          <w:top w:w="0" w:type="dxa"/>
          <w:left w:w="108" w:type="dxa"/>
          <w:bottom w:w="0" w:type="dxa"/>
          <w:right w:w="108" w:type="dxa"/>
        </w:tblCellMar>
      </w:tblPr>
      <w:tblGrid>
        <w:gridCol w:w="726"/>
        <w:gridCol w:w="1559"/>
        <w:gridCol w:w="1418"/>
        <w:gridCol w:w="1417"/>
        <w:gridCol w:w="1418"/>
        <w:gridCol w:w="1134"/>
        <w:gridCol w:w="992"/>
      </w:tblGrid>
      <w:tr>
        <w:tblPrEx>
          <w:tblCellMar>
            <w:top w:w="0" w:type="dxa"/>
            <w:left w:w="108" w:type="dxa"/>
            <w:bottom w:w="0" w:type="dxa"/>
            <w:right w:w="108" w:type="dxa"/>
          </w:tblCellMar>
        </w:tblPrEx>
        <w:trPr>
          <w:trHeight w:val="510" w:hRule="atLeast"/>
        </w:trPr>
        <w:tc>
          <w:tcPr>
            <w:tcW w:w="726"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培训费</w:t>
            </w:r>
          </w:p>
        </w:tc>
        <w:tc>
          <w:tcPr>
            <w:tcW w:w="1559" w:type="dxa"/>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预算数（万元）</w:t>
            </w:r>
          </w:p>
        </w:tc>
        <w:tc>
          <w:tcPr>
            <w:tcW w:w="2835"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决算数（万元）</w:t>
            </w:r>
          </w:p>
        </w:tc>
        <w:tc>
          <w:tcPr>
            <w:tcW w:w="1418" w:type="dxa"/>
            <w:tcBorders>
              <w:top w:val="single" w:color="auto" w:sz="4" w:space="0"/>
              <w:left w:val="nil"/>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比上年增加（万元）</w:t>
            </w:r>
          </w:p>
        </w:tc>
        <w:tc>
          <w:tcPr>
            <w:tcW w:w="1134" w:type="dxa"/>
            <w:vMerge w:val="restart"/>
            <w:tcBorders>
              <w:top w:val="single" w:color="auto" w:sz="4" w:space="0"/>
              <w:left w:val="nil"/>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完成年初预算比例%</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比上年增加比例%</w:t>
            </w:r>
          </w:p>
        </w:tc>
      </w:tr>
      <w:tr>
        <w:tblPrEx>
          <w:tblCellMar>
            <w:top w:w="0" w:type="dxa"/>
            <w:left w:w="108" w:type="dxa"/>
            <w:bottom w:w="0" w:type="dxa"/>
            <w:right w:w="108" w:type="dxa"/>
          </w:tblCellMar>
        </w:tblPrEx>
        <w:trPr>
          <w:trHeight w:val="292" w:hRule="atLeast"/>
        </w:trPr>
        <w:tc>
          <w:tcPr>
            <w:tcW w:w="72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2021</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2021</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2021-2020</w:t>
            </w:r>
          </w:p>
        </w:tc>
        <w:tc>
          <w:tcPr>
            <w:tcW w:w="1134" w:type="dxa"/>
            <w:vMerge w:val="continue"/>
            <w:tcBorders>
              <w:left w:val="single" w:color="auto" w:sz="4" w:space="0"/>
              <w:bottom w:val="single" w:color="auto" w:sz="4" w:space="0"/>
              <w:right w:val="single" w:color="auto" w:sz="4" w:space="0"/>
            </w:tcBorders>
            <w:vAlign w:val="center"/>
          </w:tcPr>
          <w:p>
            <w:pPr>
              <w:jc w:val="center"/>
              <w:rPr>
                <w:rFonts w:ascii="宋体" w:hAnsi="宋体" w:cs="宋体"/>
                <w:b/>
                <w:bCs/>
                <w:color w:val="000000"/>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p>
        </w:tc>
      </w:tr>
      <w:tr>
        <w:tblPrEx>
          <w:tblCellMar>
            <w:top w:w="0" w:type="dxa"/>
            <w:left w:w="108" w:type="dxa"/>
            <w:bottom w:w="0" w:type="dxa"/>
            <w:right w:w="108" w:type="dxa"/>
          </w:tblCellMar>
        </w:tblPrEx>
        <w:trPr>
          <w:trHeight w:val="540" w:hRule="atLeast"/>
        </w:trPr>
        <w:tc>
          <w:tcPr>
            <w:tcW w:w="726" w:type="dxa"/>
            <w:tcBorders>
              <w:top w:val="nil"/>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合计</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0.2</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0.09</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0.77</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-0.68</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45</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-87.53</w:t>
            </w:r>
          </w:p>
        </w:tc>
      </w:tr>
    </w:tbl>
    <w:p>
      <w:pPr>
        <w:rPr>
          <w:rFonts w:ascii="仿宋_GB2312" w:hAnsi="楷体" w:eastAsia="仿宋_GB2312"/>
          <w:b/>
          <w:sz w:val="32"/>
          <w:szCs w:val="32"/>
        </w:rPr>
      </w:pPr>
    </w:p>
    <w:p>
      <w:pPr>
        <w:ind w:firstLine="560" w:firstLineChars="200"/>
        <w:rPr>
          <w:rFonts w:ascii="微软雅黑" w:hAnsi="微软雅黑" w:cs="宋体"/>
          <w:color w:val="000000"/>
          <w:sz w:val="28"/>
          <w:szCs w:val="28"/>
        </w:rPr>
      </w:pPr>
      <w:r>
        <w:rPr>
          <w:rFonts w:hint="eastAsia" w:ascii="微软雅黑" w:hAnsi="微软雅黑"/>
          <w:b/>
          <w:sz w:val="28"/>
          <w:szCs w:val="28"/>
        </w:rPr>
        <w:t>2、会议费：</w:t>
      </w:r>
      <w:r>
        <w:rPr>
          <w:rFonts w:hint="eastAsia" w:ascii="微软雅黑" w:hAnsi="微软雅黑"/>
          <w:sz w:val="28"/>
          <w:szCs w:val="28"/>
        </w:rPr>
        <w:t>全年</w:t>
      </w:r>
      <w:r>
        <w:rPr>
          <w:rFonts w:ascii="微软雅黑" w:hAnsi="微软雅黑"/>
          <w:sz w:val="28"/>
          <w:szCs w:val="28"/>
        </w:rPr>
        <w:t>一般公共预算拨款安排的会议费</w:t>
      </w:r>
      <w:r>
        <w:rPr>
          <w:rFonts w:hint="eastAsia" w:ascii="微软雅黑" w:hAnsi="微软雅黑"/>
          <w:color w:val="000000"/>
          <w:sz w:val="28"/>
          <w:szCs w:val="28"/>
        </w:rPr>
        <w:t>年</w:t>
      </w:r>
      <w:r>
        <w:rPr>
          <w:rFonts w:hint="eastAsia" w:ascii="微软雅黑" w:hAnsi="微软雅黑"/>
          <w:sz w:val="28"/>
          <w:szCs w:val="28"/>
        </w:rPr>
        <w:t>初预算0万元，支出决算0万元，完成年初预算的0%</w:t>
      </w:r>
      <w:r>
        <w:rPr>
          <w:rFonts w:hint="eastAsia" w:ascii="微软雅黑" w:hAnsi="微软雅黑"/>
          <w:color w:val="000000"/>
          <w:sz w:val="28"/>
          <w:szCs w:val="28"/>
        </w:rPr>
        <w:t>，比上年增加0万元，增长0%，原因是无</w:t>
      </w:r>
      <w:r>
        <w:rPr>
          <w:rFonts w:ascii="微软雅黑" w:hAnsi="微软雅黑"/>
          <w:sz w:val="28"/>
          <w:szCs w:val="28"/>
        </w:rPr>
        <w:t>。20</w:t>
      </w:r>
      <w:r>
        <w:rPr>
          <w:rFonts w:hint="eastAsia" w:ascii="微软雅黑" w:hAnsi="微软雅黑"/>
          <w:sz w:val="28"/>
          <w:szCs w:val="28"/>
        </w:rPr>
        <w:t>21</w:t>
      </w:r>
      <w:r>
        <w:rPr>
          <w:rFonts w:ascii="微软雅黑" w:hAnsi="微软雅黑"/>
          <w:sz w:val="28"/>
          <w:szCs w:val="28"/>
        </w:rPr>
        <w:t>年度全年召开会议</w:t>
      </w:r>
      <w:r>
        <w:rPr>
          <w:rFonts w:hint="eastAsia" w:ascii="微软雅黑" w:hAnsi="微软雅黑"/>
          <w:sz w:val="28"/>
          <w:szCs w:val="28"/>
        </w:rPr>
        <w:t>0</w:t>
      </w:r>
      <w:r>
        <w:rPr>
          <w:rFonts w:ascii="微软雅黑" w:hAnsi="微软雅黑"/>
          <w:sz w:val="28"/>
          <w:szCs w:val="28"/>
        </w:rPr>
        <w:t>个，参加会议</w:t>
      </w:r>
      <w:r>
        <w:rPr>
          <w:rFonts w:hint="eastAsia" w:ascii="微软雅黑" w:hAnsi="微软雅黑"/>
          <w:sz w:val="28"/>
          <w:szCs w:val="28"/>
        </w:rPr>
        <w:t>0</w:t>
      </w:r>
      <w:r>
        <w:rPr>
          <w:rFonts w:ascii="微软雅黑" w:hAnsi="微软雅黑"/>
          <w:sz w:val="28"/>
          <w:szCs w:val="28"/>
        </w:rPr>
        <w:t>人次。</w:t>
      </w:r>
    </w:p>
    <w:tbl>
      <w:tblPr>
        <w:tblStyle w:val="5"/>
        <w:tblW w:w="8664" w:type="dxa"/>
        <w:tblInd w:w="91" w:type="dxa"/>
        <w:tblLayout w:type="autofit"/>
        <w:tblCellMar>
          <w:top w:w="0" w:type="dxa"/>
          <w:left w:w="108" w:type="dxa"/>
          <w:bottom w:w="0" w:type="dxa"/>
          <w:right w:w="108" w:type="dxa"/>
        </w:tblCellMar>
      </w:tblPr>
      <w:tblGrid>
        <w:gridCol w:w="726"/>
        <w:gridCol w:w="1559"/>
        <w:gridCol w:w="1418"/>
        <w:gridCol w:w="1417"/>
        <w:gridCol w:w="1418"/>
        <w:gridCol w:w="1134"/>
        <w:gridCol w:w="992"/>
      </w:tblGrid>
      <w:tr>
        <w:tblPrEx>
          <w:tblCellMar>
            <w:top w:w="0" w:type="dxa"/>
            <w:left w:w="108" w:type="dxa"/>
            <w:bottom w:w="0" w:type="dxa"/>
            <w:right w:w="108" w:type="dxa"/>
          </w:tblCellMar>
        </w:tblPrEx>
        <w:trPr>
          <w:trHeight w:val="510" w:hRule="atLeast"/>
        </w:trPr>
        <w:tc>
          <w:tcPr>
            <w:tcW w:w="726"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会议费</w:t>
            </w:r>
          </w:p>
        </w:tc>
        <w:tc>
          <w:tcPr>
            <w:tcW w:w="1559" w:type="dxa"/>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预算数（万元）</w:t>
            </w:r>
          </w:p>
        </w:tc>
        <w:tc>
          <w:tcPr>
            <w:tcW w:w="2835"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决算数（万元）</w:t>
            </w:r>
          </w:p>
        </w:tc>
        <w:tc>
          <w:tcPr>
            <w:tcW w:w="1418" w:type="dxa"/>
            <w:tcBorders>
              <w:top w:val="single" w:color="auto" w:sz="4" w:space="0"/>
              <w:left w:val="nil"/>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比上年增加（万元）</w:t>
            </w:r>
          </w:p>
        </w:tc>
        <w:tc>
          <w:tcPr>
            <w:tcW w:w="1134" w:type="dxa"/>
            <w:vMerge w:val="restart"/>
            <w:tcBorders>
              <w:top w:val="single" w:color="auto" w:sz="4" w:space="0"/>
              <w:left w:val="nil"/>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完成年初预算比例%</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比上年增加比例%</w:t>
            </w:r>
          </w:p>
        </w:tc>
      </w:tr>
      <w:tr>
        <w:tblPrEx>
          <w:tblCellMar>
            <w:top w:w="0" w:type="dxa"/>
            <w:left w:w="108" w:type="dxa"/>
            <w:bottom w:w="0" w:type="dxa"/>
            <w:right w:w="108" w:type="dxa"/>
          </w:tblCellMar>
        </w:tblPrEx>
        <w:trPr>
          <w:trHeight w:val="292" w:hRule="atLeast"/>
        </w:trPr>
        <w:tc>
          <w:tcPr>
            <w:tcW w:w="72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2021</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2021</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2021-2020</w:t>
            </w:r>
          </w:p>
        </w:tc>
        <w:tc>
          <w:tcPr>
            <w:tcW w:w="1134" w:type="dxa"/>
            <w:vMerge w:val="continue"/>
            <w:tcBorders>
              <w:left w:val="single" w:color="auto" w:sz="4" w:space="0"/>
              <w:bottom w:val="single" w:color="auto" w:sz="4" w:space="0"/>
              <w:right w:val="single" w:color="auto" w:sz="4" w:space="0"/>
            </w:tcBorders>
            <w:vAlign w:val="center"/>
          </w:tcPr>
          <w:p>
            <w:pPr>
              <w:jc w:val="center"/>
              <w:rPr>
                <w:rFonts w:ascii="宋体" w:hAnsi="宋体" w:cs="宋体"/>
                <w:b/>
                <w:bCs/>
                <w:color w:val="000000"/>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p>
        </w:tc>
      </w:tr>
      <w:tr>
        <w:tblPrEx>
          <w:tblCellMar>
            <w:top w:w="0" w:type="dxa"/>
            <w:left w:w="108" w:type="dxa"/>
            <w:bottom w:w="0" w:type="dxa"/>
            <w:right w:w="108" w:type="dxa"/>
          </w:tblCellMar>
        </w:tblPrEx>
        <w:trPr>
          <w:trHeight w:val="540" w:hRule="atLeast"/>
        </w:trPr>
        <w:tc>
          <w:tcPr>
            <w:tcW w:w="726" w:type="dxa"/>
            <w:tcBorders>
              <w:top w:val="nil"/>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合计</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0.2</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-0.2</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-100</w:t>
            </w:r>
          </w:p>
        </w:tc>
      </w:tr>
    </w:tbl>
    <w:p>
      <w:pPr>
        <w:ind w:firstLine="636"/>
        <w:rPr>
          <w:rFonts w:ascii="仿宋_GB2312" w:hAnsi="仿宋" w:eastAsia="仿宋_GB2312"/>
          <w:sz w:val="32"/>
          <w:szCs w:val="32"/>
        </w:rPr>
      </w:pPr>
    </w:p>
    <w:p>
      <w:pPr>
        <w:spacing w:line="220" w:lineRule="atLeast"/>
        <w:ind w:firstLine="482" w:firstLineChars="150"/>
        <w:rPr>
          <w:rFonts w:ascii="仿宋_GB2312" w:hAnsi="仿宋" w:eastAsia="仿宋_GB2312"/>
          <w:b/>
          <w:sz w:val="32"/>
          <w:szCs w:val="32"/>
        </w:rPr>
      </w:pPr>
      <w:r>
        <w:rPr>
          <w:rFonts w:hint="eastAsia" w:ascii="仿宋_GB2312" w:hAnsi="仿宋" w:eastAsia="仿宋_GB2312"/>
          <w:b/>
          <w:sz w:val="32"/>
          <w:szCs w:val="32"/>
        </w:rPr>
        <w:t>3、其他需要说明的事项</w:t>
      </w:r>
    </w:p>
    <w:p>
      <w:pPr>
        <w:spacing w:line="220" w:lineRule="atLeast"/>
        <w:ind w:firstLine="560" w:firstLineChars="200"/>
        <w:rPr>
          <w:sz w:val="28"/>
          <w:szCs w:val="28"/>
        </w:rPr>
      </w:pPr>
      <w:r>
        <w:rPr>
          <w:rFonts w:hint="eastAsia"/>
          <w:sz w:val="28"/>
          <w:szCs w:val="28"/>
        </w:rPr>
        <w:t>我单位无其他需要说明的事项。</w:t>
      </w:r>
    </w:p>
    <w:p>
      <w:pPr>
        <w:spacing w:line="220" w:lineRule="atLeast"/>
        <w:rPr>
          <w:b/>
          <w:sz w:val="28"/>
          <w:szCs w:val="28"/>
        </w:rPr>
      </w:pPr>
      <w:r>
        <w:rPr>
          <w:rFonts w:hint="eastAsia"/>
          <w:b/>
          <w:sz w:val="28"/>
          <w:szCs w:val="28"/>
        </w:rPr>
        <w:t>第四部分 名词解释</w:t>
      </w:r>
    </w:p>
    <w:p>
      <w:pPr>
        <w:spacing w:line="220" w:lineRule="atLeast"/>
        <w:ind w:firstLine="560" w:firstLineChars="200"/>
        <w:rPr>
          <w:sz w:val="28"/>
          <w:szCs w:val="28"/>
        </w:rPr>
      </w:pPr>
      <w:r>
        <w:rPr>
          <w:rFonts w:hint="eastAsia"/>
          <w:b/>
          <w:sz w:val="28"/>
          <w:szCs w:val="28"/>
        </w:rPr>
        <w:t>一、财政拨款收入：</w:t>
      </w:r>
      <w:r>
        <w:rPr>
          <w:rFonts w:hint="eastAsia"/>
          <w:sz w:val="28"/>
          <w:szCs w:val="28"/>
        </w:rPr>
        <w:t>指单位从同级财政部门取得的财政预算资金。</w:t>
      </w:r>
    </w:p>
    <w:p>
      <w:pPr>
        <w:spacing w:line="220" w:lineRule="atLeast"/>
        <w:ind w:firstLine="560" w:firstLineChars="200"/>
        <w:rPr>
          <w:sz w:val="28"/>
          <w:szCs w:val="28"/>
        </w:rPr>
      </w:pPr>
      <w:r>
        <w:rPr>
          <w:rFonts w:hint="eastAsia"/>
          <w:b/>
          <w:sz w:val="28"/>
          <w:szCs w:val="28"/>
        </w:rPr>
        <w:t>二、事业收入：</w:t>
      </w:r>
      <w:r>
        <w:rPr>
          <w:rFonts w:hint="eastAsia"/>
          <w:sz w:val="28"/>
          <w:szCs w:val="28"/>
        </w:rPr>
        <w:t>指事业单位开展专业业务活动及辅助活动取得的收入。</w:t>
      </w:r>
    </w:p>
    <w:p>
      <w:pPr>
        <w:spacing w:line="220" w:lineRule="atLeast"/>
        <w:ind w:firstLine="560" w:firstLineChars="200"/>
        <w:rPr>
          <w:sz w:val="28"/>
          <w:szCs w:val="28"/>
        </w:rPr>
      </w:pPr>
      <w:r>
        <w:rPr>
          <w:rFonts w:hint="eastAsia"/>
          <w:b/>
          <w:sz w:val="28"/>
          <w:szCs w:val="28"/>
        </w:rPr>
        <w:t>三、经营收入：</w:t>
      </w:r>
      <w:r>
        <w:rPr>
          <w:rFonts w:hint="eastAsia"/>
          <w:sz w:val="28"/>
          <w:szCs w:val="28"/>
        </w:rPr>
        <w:t>指事业单位在专业业务活动及其辅助活动之外开展非独立核算经营活动取得的收入。</w:t>
      </w:r>
    </w:p>
    <w:p>
      <w:pPr>
        <w:spacing w:line="220" w:lineRule="atLeast"/>
        <w:ind w:firstLine="560" w:firstLineChars="200"/>
        <w:rPr>
          <w:sz w:val="28"/>
          <w:szCs w:val="28"/>
        </w:rPr>
      </w:pPr>
      <w:r>
        <w:rPr>
          <w:rFonts w:hint="eastAsia"/>
          <w:b/>
          <w:sz w:val="28"/>
          <w:szCs w:val="28"/>
        </w:rPr>
        <w:t>四、其他收入：</w:t>
      </w:r>
      <w:r>
        <w:rPr>
          <w:rFonts w:hint="eastAsia"/>
          <w:sz w:val="28"/>
          <w:szCs w:val="28"/>
        </w:rPr>
        <w:t>指单位取得的除上述收入以外的各项收入。主要是事业单位固定资产出租收入、存款利息收入等。</w:t>
      </w:r>
    </w:p>
    <w:p>
      <w:pPr>
        <w:spacing w:line="220" w:lineRule="atLeast"/>
        <w:ind w:firstLine="560" w:firstLineChars="200"/>
        <w:rPr>
          <w:sz w:val="28"/>
          <w:szCs w:val="28"/>
        </w:rPr>
      </w:pPr>
      <w:r>
        <w:rPr>
          <w:rFonts w:hint="eastAsia"/>
          <w:b/>
          <w:sz w:val="28"/>
          <w:szCs w:val="28"/>
        </w:rPr>
        <w:t>五、使用非财政拨款结余：</w:t>
      </w:r>
      <w:r>
        <w:rPr>
          <w:rFonts w:hint="eastAsia"/>
          <w:sz w:val="28"/>
          <w:szCs w:val="28"/>
        </w:rPr>
        <w:t>指事业单位使用以前年度积累的非财政拨款结余弥补当年收支差额的金额。</w:t>
      </w:r>
    </w:p>
    <w:p>
      <w:pPr>
        <w:spacing w:line="220" w:lineRule="atLeast"/>
        <w:ind w:firstLine="560" w:firstLineChars="200"/>
        <w:rPr>
          <w:sz w:val="28"/>
          <w:szCs w:val="28"/>
        </w:rPr>
      </w:pPr>
      <w:r>
        <w:rPr>
          <w:rFonts w:hint="eastAsia"/>
          <w:b/>
          <w:sz w:val="28"/>
          <w:szCs w:val="28"/>
        </w:rPr>
        <w:t>六、年初结转和结余：</w:t>
      </w:r>
      <w:r>
        <w:rPr>
          <w:rFonts w:hint="eastAsia"/>
          <w:sz w:val="28"/>
          <w:szCs w:val="28"/>
        </w:rPr>
        <w:t>指单位以前年度尚未完成、结转到本年仍按原规定用途继续使用的资金，或项目已完成等产生的结余资金。</w:t>
      </w:r>
    </w:p>
    <w:p>
      <w:pPr>
        <w:spacing w:line="220" w:lineRule="atLeast"/>
        <w:ind w:firstLine="560" w:firstLineChars="200"/>
        <w:rPr>
          <w:sz w:val="28"/>
          <w:szCs w:val="28"/>
        </w:rPr>
      </w:pPr>
      <w:r>
        <w:rPr>
          <w:rFonts w:hint="eastAsia"/>
          <w:b/>
          <w:sz w:val="28"/>
          <w:szCs w:val="28"/>
        </w:rPr>
        <w:t>七、结余分配：</w:t>
      </w:r>
      <w:r>
        <w:rPr>
          <w:rFonts w:hint="eastAsia"/>
          <w:sz w:val="28"/>
          <w:szCs w:val="28"/>
        </w:rPr>
        <w:t>指事业单位按照会计制度规定缴纳的所得税、提取的专用结余以及转入非财政拨款结余的金额等。</w:t>
      </w:r>
    </w:p>
    <w:p>
      <w:pPr>
        <w:spacing w:line="220" w:lineRule="atLeast"/>
        <w:ind w:firstLine="560" w:firstLineChars="200"/>
        <w:rPr>
          <w:sz w:val="28"/>
          <w:szCs w:val="28"/>
        </w:rPr>
      </w:pPr>
      <w:r>
        <w:rPr>
          <w:rFonts w:hint="eastAsia"/>
          <w:b/>
          <w:sz w:val="28"/>
          <w:szCs w:val="28"/>
        </w:rPr>
        <w:t>八、年末结转和结余：</w:t>
      </w:r>
      <w:r>
        <w:rPr>
          <w:rFonts w:hint="eastAsia"/>
          <w:sz w:val="28"/>
          <w:szCs w:val="28"/>
        </w:rPr>
        <w:t>指单位按有关规定结转到下年或以后年度继续使用的资金，或项目已完成等产生的结余资金。</w:t>
      </w:r>
    </w:p>
    <w:p>
      <w:pPr>
        <w:spacing w:line="220" w:lineRule="atLeast"/>
        <w:ind w:firstLine="560" w:firstLineChars="200"/>
        <w:rPr>
          <w:sz w:val="28"/>
          <w:szCs w:val="28"/>
        </w:rPr>
      </w:pPr>
      <w:r>
        <w:rPr>
          <w:rFonts w:hint="eastAsia"/>
          <w:b/>
          <w:sz w:val="28"/>
          <w:szCs w:val="28"/>
        </w:rPr>
        <w:t>九、基本支出：</w:t>
      </w:r>
      <w:r>
        <w:rPr>
          <w:rFonts w:hint="eastAsia"/>
          <w:sz w:val="28"/>
          <w:szCs w:val="28"/>
        </w:rPr>
        <w:t>指为保障机构正常运转、完成日常工作任务而发生的人员支出和公用支出。</w:t>
      </w:r>
    </w:p>
    <w:p>
      <w:pPr>
        <w:spacing w:line="220" w:lineRule="atLeast"/>
        <w:ind w:firstLine="560" w:firstLineChars="200"/>
        <w:rPr>
          <w:sz w:val="28"/>
          <w:szCs w:val="28"/>
        </w:rPr>
      </w:pPr>
      <w:r>
        <w:rPr>
          <w:rFonts w:hint="eastAsia"/>
          <w:b/>
          <w:sz w:val="28"/>
          <w:szCs w:val="28"/>
        </w:rPr>
        <w:t>十、项目支出：</w:t>
      </w:r>
      <w:r>
        <w:rPr>
          <w:rFonts w:hint="eastAsia"/>
          <w:sz w:val="28"/>
          <w:szCs w:val="28"/>
        </w:rPr>
        <w:t>指在基本支出之外为完成特定行政任务和事业发展目标所发生的支出。</w:t>
      </w:r>
    </w:p>
    <w:p>
      <w:pPr>
        <w:spacing w:line="220" w:lineRule="atLeast"/>
        <w:ind w:firstLine="560" w:firstLineChars="200"/>
        <w:rPr>
          <w:sz w:val="28"/>
          <w:szCs w:val="28"/>
        </w:rPr>
      </w:pPr>
      <w:r>
        <w:rPr>
          <w:rFonts w:hint="eastAsia"/>
          <w:b/>
          <w:sz w:val="28"/>
          <w:szCs w:val="28"/>
        </w:rPr>
        <w:t>十一、“三公”经费：</w:t>
      </w:r>
      <w:r>
        <w:rPr>
          <w:rFonts w:hint="eastAsia"/>
          <w:sz w:val="28"/>
          <w:szCs w:val="28"/>
        </w:rPr>
        <w:t>指省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220" w:lineRule="atLeast"/>
        <w:ind w:firstLine="560" w:firstLineChars="200"/>
        <w:rPr>
          <w:sz w:val="28"/>
          <w:szCs w:val="28"/>
        </w:rPr>
      </w:pPr>
      <w:r>
        <w:rPr>
          <w:rFonts w:hint="eastAsia"/>
          <w:b/>
          <w:sz w:val="28"/>
          <w:szCs w:val="28"/>
        </w:rPr>
        <w:t>十二、机关运行经费：</w:t>
      </w:r>
      <w:r>
        <w:rPr>
          <w:rFonts w:hint="eastAsia"/>
          <w:sz w:val="28"/>
          <w:szCs w:val="28"/>
        </w:rPr>
        <w:t>指行政单位和参照公务员法管理的事业单位使用一般公共预算安排的基本支出中的日常公用经费支出。</w:t>
      </w:r>
    </w:p>
    <w:p>
      <w:pPr>
        <w:autoSpaceDE w:val="0"/>
        <w:autoSpaceDN w:val="0"/>
        <w:ind w:firstLine="560" w:firstLineChars="200"/>
        <w:rPr>
          <w:rFonts w:ascii="仿宋_GB2312" w:hAnsi="仿宋" w:eastAsia="仿宋_GB2312"/>
          <w:sz w:val="32"/>
          <w:szCs w:val="32"/>
        </w:rPr>
      </w:pPr>
      <w:r>
        <w:rPr>
          <w:rFonts w:hint="eastAsia"/>
          <w:b/>
          <w:sz w:val="28"/>
          <w:szCs w:val="28"/>
        </w:rPr>
        <w:t>十三、政府购买服务：</w:t>
      </w:r>
      <w:r>
        <w:rPr>
          <w:rFonts w:hint="eastAsia"/>
          <w:sz w:val="28"/>
          <w:szCs w:val="28"/>
        </w:rPr>
        <w:t>根据我国现行政策规定，政府购买服务，是指政府按照一定的方式和程序，把属于政府职责范围且适合通过市场化方式提供的服务事项，交由符合条件的社会力量和事业单位承担，并根据服务数量和质量等向其支付费用的行为。政府购买服务是一种契约化的公共服务提供方式，具有权责清晰、结果导向、灵活高效等特点。</w:t>
      </w:r>
    </w:p>
    <w:p>
      <w:pPr>
        <w:autoSpaceDE w:val="0"/>
        <w:autoSpaceDN w:val="0"/>
        <w:ind w:firstLine="560" w:firstLineChars="200"/>
        <w:rPr>
          <w:rFonts w:ascii="仿宋_GB2312" w:hAnsi="仿宋" w:eastAsia="仿宋_GB2312"/>
          <w:sz w:val="32"/>
          <w:szCs w:val="32"/>
        </w:rPr>
      </w:pPr>
      <w:r>
        <w:rPr>
          <w:rFonts w:hint="eastAsia"/>
          <w:b/>
          <w:sz w:val="28"/>
          <w:szCs w:val="28"/>
        </w:rPr>
        <w:t>十四、</w:t>
      </w:r>
      <w:r>
        <w:rPr>
          <w:b/>
          <w:sz w:val="28"/>
          <w:szCs w:val="28"/>
        </w:rPr>
        <w:t>人员经费</w:t>
      </w:r>
      <w:r>
        <w:rPr>
          <w:rFonts w:hint="eastAsia"/>
          <w:b/>
          <w:sz w:val="28"/>
          <w:szCs w:val="28"/>
        </w:rPr>
        <w:t>：</w:t>
      </w:r>
      <w:r>
        <w:rPr>
          <w:sz w:val="28"/>
          <w:szCs w:val="28"/>
        </w:rPr>
        <w:t>主要包括：基本工资、津贴补贴、奖金、社会保障缴费、伙食补助费、绩效工资、其他工资福利支出、离休费、退休费、抚恤金、生活补助、医疗费、奖励金、住房公积金、提租补贴、……、其他对个人和家庭的补助支出。</w:t>
      </w:r>
    </w:p>
    <w:p>
      <w:pPr>
        <w:autoSpaceDE w:val="0"/>
        <w:autoSpaceDN w:val="0"/>
        <w:ind w:firstLine="560" w:firstLineChars="200"/>
        <w:rPr>
          <w:sz w:val="28"/>
          <w:szCs w:val="28"/>
        </w:rPr>
      </w:pPr>
      <w:r>
        <w:rPr>
          <w:rFonts w:hint="eastAsia"/>
          <w:b/>
          <w:sz w:val="28"/>
          <w:szCs w:val="28"/>
        </w:rPr>
        <w:t>十五、</w:t>
      </w:r>
      <w:r>
        <w:rPr>
          <w:b/>
          <w:sz w:val="28"/>
          <w:szCs w:val="28"/>
        </w:rPr>
        <w:t>公用经费</w:t>
      </w:r>
      <w:r>
        <w:rPr>
          <w:rFonts w:hint="eastAsia"/>
          <w:b/>
          <w:sz w:val="28"/>
          <w:szCs w:val="28"/>
        </w:rPr>
        <w:t>：</w:t>
      </w:r>
      <w:r>
        <w:rPr>
          <w:sz w:val="28"/>
          <w:szCs w:val="28"/>
        </w:rPr>
        <w:t>主要包括：办公费、印刷费、咨询费、手续费、水费、电费、邮电费、取暖费、物业管理费、差旅费、维修（护）费、租赁费、会议费、培训费、公务接待费、专用材料费、劳务费、委托业务费、工会经费、福利费、公务用车运行维护费、其他交通费用、其他商品和服务支出、办公设备购置、专用设备购置、信息网络及软件购置更新、其他资本性支出。</w:t>
      </w:r>
    </w:p>
    <w:p>
      <w:pPr>
        <w:spacing w:line="220" w:lineRule="atLeast"/>
        <w:rPr>
          <w:sz w:val="28"/>
          <w:szCs w:val="28"/>
        </w:rPr>
      </w:pPr>
      <w:r>
        <w:rPr>
          <w:rFonts w:hint="eastAsia"/>
          <w:b/>
          <w:sz w:val="28"/>
          <w:szCs w:val="28"/>
        </w:rPr>
        <w:t>第五部分 附件</w:t>
      </w:r>
    </w:p>
    <w:p>
      <w:pPr>
        <w:spacing w:line="220" w:lineRule="atLeast"/>
        <w:rPr>
          <w:sz w:val="28"/>
          <w:szCs w:val="28"/>
        </w:rPr>
        <w:sectPr>
          <w:pgSz w:w="11906" w:h="16838"/>
          <w:pgMar w:top="1440" w:right="1800" w:bottom="1440" w:left="1800" w:header="708" w:footer="708" w:gutter="0"/>
          <w:pgNumType w:start="1"/>
          <w:cols w:space="708" w:num="1"/>
          <w:docGrid w:linePitch="360" w:charSpace="0"/>
        </w:sectPr>
      </w:pPr>
      <w:r>
        <w:rPr>
          <w:rFonts w:hint="eastAsia"/>
          <w:sz w:val="28"/>
          <w:szCs w:val="28"/>
        </w:rPr>
        <w:t xml:space="preserve">       我单位2021年度没有其他需要说明的事项。</w:t>
      </w:r>
    </w:p>
    <w:p>
      <w:pPr>
        <w:spacing w:line="220" w:lineRule="atLeast"/>
        <w:rPr>
          <w:b/>
          <w:sz w:val="28"/>
          <w:szCs w:val="28"/>
        </w:rPr>
      </w:pPr>
    </w:p>
    <w:sectPr>
      <w:type w:val="continuous"/>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2"/>
  </w:compat>
  <w:docVars>
    <w:docVar w:name="commondata" w:val="eyJoZGlkIjoiMzRmN2U5YjM3NWE5NWZiYmExMjg5MWQyMjNkMTdhYmIifQ=="/>
  </w:docVars>
  <w:rsids>
    <w:rsidRoot w:val="00D31D50"/>
    <w:rsid w:val="000034DB"/>
    <w:rsid w:val="00015092"/>
    <w:rsid w:val="0005715E"/>
    <w:rsid w:val="00065A92"/>
    <w:rsid w:val="000A5B5D"/>
    <w:rsid w:val="000B4C5F"/>
    <w:rsid w:val="000B6182"/>
    <w:rsid w:val="000C4302"/>
    <w:rsid w:val="000D30E1"/>
    <w:rsid w:val="00112EF7"/>
    <w:rsid w:val="001151FD"/>
    <w:rsid w:val="00116783"/>
    <w:rsid w:val="00130F93"/>
    <w:rsid w:val="00137AEF"/>
    <w:rsid w:val="0014259E"/>
    <w:rsid w:val="00150E25"/>
    <w:rsid w:val="001625CD"/>
    <w:rsid w:val="00180459"/>
    <w:rsid w:val="00182E6D"/>
    <w:rsid w:val="001A555A"/>
    <w:rsid w:val="001B4B3F"/>
    <w:rsid w:val="001D282C"/>
    <w:rsid w:val="001F6417"/>
    <w:rsid w:val="0022359D"/>
    <w:rsid w:val="00227129"/>
    <w:rsid w:val="00234B1B"/>
    <w:rsid w:val="00250955"/>
    <w:rsid w:val="00257132"/>
    <w:rsid w:val="00261980"/>
    <w:rsid w:val="00272B46"/>
    <w:rsid w:val="00280E08"/>
    <w:rsid w:val="002B5A91"/>
    <w:rsid w:val="002C1613"/>
    <w:rsid w:val="002E4F70"/>
    <w:rsid w:val="00323B43"/>
    <w:rsid w:val="0032692D"/>
    <w:rsid w:val="00331879"/>
    <w:rsid w:val="00345A54"/>
    <w:rsid w:val="00346E9C"/>
    <w:rsid w:val="0034710F"/>
    <w:rsid w:val="003567F3"/>
    <w:rsid w:val="00375439"/>
    <w:rsid w:val="00391C06"/>
    <w:rsid w:val="003A3622"/>
    <w:rsid w:val="003B55EA"/>
    <w:rsid w:val="003B706B"/>
    <w:rsid w:val="003D37D8"/>
    <w:rsid w:val="003D480B"/>
    <w:rsid w:val="003E27ED"/>
    <w:rsid w:val="003F3218"/>
    <w:rsid w:val="00402CD9"/>
    <w:rsid w:val="004129E8"/>
    <w:rsid w:val="00413DEB"/>
    <w:rsid w:val="004207FB"/>
    <w:rsid w:val="00424FEA"/>
    <w:rsid w:val="00426133"/>
    <w:rsid w:val="004358AB"/>
    <w:rsid w:val="004474A0"/>
    <w:rsid w:val="00474F3A"/>
    <w:rsid w:val="00481E35"/>
    <w:rsid w:val="00481E91"/>
    <w:rsid w:val="004B1117"/>
    <w:rsid w:val="004B2FD8"/>
    <w:rsid w:val="004F2386"/>
    <w:rsid w:val="004F3BD3"/>
    <w:rsid w:val="00534286"/>
    <w:rsid w:val="00586AAF"/>
    <w:rsid w:val="00587E89"/>
    <w:rsid w:val="005D49F3"/>
    <w:rsid w:val="005E4446"/>
    <w:rsid w:val="005F5CEF"/>
    <w:rsid w:val="005F7A3E"/>
    <w:rsid w:val="0060630C"/>
    <w:rsid w:val="006138A3"/>
    <w:rsid w:val="00626F0F"/>
    <w:rsid w:val="00632EB9"/>
    <w:rsid w:val="00642893"/>
    <w:rsid w:val="006771DA"/>
    <w:rsid w:val="006B5051"/>
    <w:rsid w:val="006C6B8A"/>
    <w:rsid w:val="006D1676"/>
    <w:rsid w:val="006D1A65"/>
    <w:rsid w:val="006D641F"/>
    <w:rsid w:val="00704A94"/>
    <w:rsid w:val="007144CD"/>
    <w:rsid w:val="007313E8"/>
    <w:rsid w:val="007324F1"/>
    <w:rsid w:val="00757151"/>
    <w:rsid w:val="00760958"/>
    <w:rsid w:val="00773998"/>
    <w:rsid w:val="007816A0"/>
    <w:rsid w:val="007917B1"/>
    <w:rsid w:val="007A3408"/>
    <w:rsid w:val="007C53C5"/>
    <w:rsid w:val="007D6BB9"/>
    <w:rsid w:val="00802B59"/>
    <w:rsid w:val="008536B8"/>
    <w:rsid w:val="008563AB"/>
    <w:rsid w:val="00857C8B"/>
    <w:rsid w:val="008719F7"/>
    <w:rsid w:val="008806F0"/>
    <w:rsid w:val="00886BEC"/>
    <w:rsid w:val="00890813"/>
    <w:rsid w:val="008B7726"/>
    <w:rsid w:val="008C3D62"/>
    <w:rsid w:val="008C4AC1"/>
    <w:rsid w:val="008D288F"/>
    <w:rsid w:val="008E7165"/>
    <w:rsid w:val="008F19A4"/>
    <w:rsid w:val="008F27AF"/>
    <w:rsid w:val="00914AA8"/>
    <w:rsid w:val="0092060B"/>
    <w:rsid w:val="00922A35"/>
    <w:rsid w:val="009308A6"/>
    <w:rsid w:val="00943B0A"/>
    <w:rsid w:val="0096078A"/>
    <w:rsid w:val="009669AE"/>
    <w:rsid w:val="0097038A"/>
    <w:rsid w:val="009A533E"/>
    <w:rsid w:val="009A5671"/>
    <w:rsid w:val="009A6452"/>
    <w:rsid w:val="009C4F82"/>
    <w:rsid w:val="009D6C64"/>
    <w:rsid w:val="009E0611"/>
    <w:rsid w:val="00A46367"/>
    <w:rsid w:val="00A61FAF"/>
    <w:rsid w:val="00A73E29"/>
    <w:rsid w:val="00A76713"/>
    <w:rsid w:val="00A86E94"/>
    <w:rsid w:val="00AD7358"/>
    <w:rsid w:val="00AD7F7B"/>
    <w:rsid w:val="00AE1E0B"/>
    <w:rsid w:val="00AF1714"/>
    <w:rsid w:val="00AF73B7"/>
    <w:rsid w:val="00B05C60"/>
    <w:rsid w:val="00B11481"/>
    <w:rsid w:val="00B24AE1"/>
    <w:rsid w:val="00B81AA3"/>
    <w:rsid w:val="00B87AD6"/>
    <w:rsid w:val="00B945EF"/>
    <w:rsid w:val="00B96867"/>
    <w:rsid w:val="00B969B8"/>
    <w:rsid w:val="00BD3FF2"/>
    <w:rsid w:val="00BE7EBF"/>
    <w:rsid w:val="00C0315D"/>
    <w:rsid w:val="00C03799"/>
    <w:rsid w:val="00C11733"/>
    <w:rsid w:val="00C12E0D"/>
    <w:rsid w:val="00C3223F"/>
    <w:rsid w:val="00C3277B"/>
    <w:rsid w:val="00C440E2"/>
    <w:rsid w:val="00C46175"/>
    <w:rsid w:val="00C52272"/>
    <w:rsid w:val="00C55573"/>
    <w:rsid w:val="00C815C3"/>
    <w:rsid w:val="00C858AD"/>
    <w:rsid w:val="00C85A8F"/>
    <w:rsid w:val="00CA1335"/>
    <w:rsid w:val="00CA7839"/>
    <w:rsid w:val="00CB6F81"/>
    <w:rsid w:val="00CC5009"/>
    <w:rsid w:val="00CD5ED3"/>
    <w:rsid w:val="00CD6553"/>
    <w:rsid w:val="00CF2B1A"/>
    <w:rsid w:val="00CF497D"/>
    <w:rsid w:val="00CF6512"/>
    <w:rsid w:val="00CF7806"/>
    <w:rsid w:val="00D13827"/>
    <w:rsid w:val="00D21D99"/>
    <w:rsid w:val="00D31D50"/>
    <w:rsid w:val="00D65D54"/>
    <w:rsid w:val="00D6655E"/>
    <w:rsid w:val="00D67621"/>
    <w:rsid w:val="00D70DBD"/>
    <w:rsid w:val="00D71FA2"/>
    <w:rsid w:val="00D7619A"/>
    <w:rsid w:val="00DB2286"/>
    <w:rsid w:val="00DC2F17"/>
    <w:rsid w:val="00DC4049"/>
    <w:rsid w:val="00DF7E48"/>
    <w:rsid w:val="00E173C3"/>
    <w:rsid w:val="00E2388E"/>
    <w:rsid w:val="00E34FA3"/>
    <w:rsid w:val="00E72552"/>
    <w:rsid w:val="00E751B6"/>
    <w:rsid w:val="00E75761"/>
    <w:rsid w:val="00E916DD"/>
    <w:rsid w:val="00E92F6D"/>
    <w:rsid w:val="00EC3B89"/>
    <w:rsid w:val="00EC6A3F"/>
    <w:rsid w:val="00EF6880"/>
    <w:rsid w:val="00F03A02"/>
    <w:rsid w:val="00F11C91"/>
    <w:rsid w:val="00F30906"/>
    <w:rsid w:val="00F3245B"/>
    <w:rsid w:val="00F41066"/>
    <w:rsid w:val="00F646A3"/>
    <w:rsid w:val="00F66D9E"/>
    <w:rsid w:val="00F90000"/>
    <w:rsid w:val="00FA0D4A"/>
    <w:rsid w:val="00FA3F9F"/>
    <w:rsid w:val="00FC472E"/>
    <w:rsid w:val="00FC523D"/>
    <w:rsid w:val="00FD26CE"/>
    <w:rsid w:val="00FE3D82"/>
    <w:rsid w:val="00FE6260"/>
    <w:rsid w:val="00FF39E1"/>
    <w:rsid w:val="00FF597A"/>
    <w:rsid w:val="00FF740D"/>
    <w:rsid w:val="01034898"/>
    <w:rsid w:val="06587D46"/>
    <w:rsid w:val="082667F0"/>
    <w:rsid w:val="086679C8"/>
    <w:rsid w:val="0AA3704A"/>
    <w:rsid w:val="0B5866DB"/>
    <w:rsid w:val="0C793C77"/>
    <w:rsid w:val="0D5C636E"/>
    <w:rsid w:val="106F460A"/>
    <w:rsid w:val="133F119C"/>
    <w:rsid w:val="13EB21F9"/>
    <w:rsid w:val="188910C1"/>
    <w:rsid w:val="196601DF"/>
    <w:rsid w:val="1B784ED4"/>
    <w:rsid w:val="1E591A8F"/>
    <w:rsid w:val="20AC07C9"/>
    <w:rsid w:val="2748396D"/>
    <w:rsid w:val="2AB47EA9"/>
    <w:rsid w:val="2B9C3175"/>
    <w:rsid w:val="2CDD743B"/>
    <w:rsid w:val="2CF63BFC"/>
    <w:rsid w:val="2DA717DF"/>
    <w:rsid w:val="2FB01F7C"/>
    <w:rsid w:val="351567E0"/>
    <w:rsid w:val="377F796A"/>
    <w:rsid w:val="38217DDB"/>
    <w:rsid w:val="399D0717"/>
    <w:rsid w:val="39B8052E"/>
    <w:rsid w:val="3CA273D5"/>
    <w:rsid w:val="3DB308F8"/>
    <w:rsid w:val="43010842"/>
    <w:rsid w:val="445364C3"/>
    <w:rsid w:val="4D987CD5"/>
    <w:rsid w:val="52EB59D1"/>
    <w:rsid w:val="55327DFE"/>
    <w:rsid w:val="557249DD"/>
    <w:rsid w:val="5598512A"/>
    <w:rsid w:val="594F1EAF"/>
    <w:rsid w:val="5A5B1F9D"/>
    <w:rsid w:val="5B215592"/>
    <w:rsid w:val="5DC25A71"/>
    <w:rsid w:val="5DC63117"/>
    <w:rsid w:val="5FFA5423"/>
    <w:rsid w:val="65464094"/>
    <w:rsid w:val="667136CE"/>
    <w:rsid w:val="69B82A1E"/>
    <w:rsid w:val="6BA02A3F"/>
    <w:rsid w:val="6C3513D9"/>
    <w:rsid w:val="6C88377F"/>
    <w:rsid w:val="6E363B31"/>
    <w:rsid w:val="71B50A2A"/>
    <w:rsid w:val="72CD4EB3"/>
    <w:rsid w:val="752E7929"/>
    <w:rsid w:val="776B3830"/>
    <w:rsid w:val="7AB4747C"/>
    <w:rsid w:val="7C0B7A60"/>
    <w:rsid w:val="7F8A5401"/>
    <w:rsid w:val="7FD31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2"/>
    <w:basedOn w:val="1"/>
    <w:next w:val="1"/>
    <w:qFormat/>
    <w:uiPriority w:val="0"/>
    <w:pPr>
      <w:keepNext/>
      <w:keepLines/>
      <w:widowControl w:val="0"/>
      <w:spacing w:line="415" w:lineRule="auto"/>
      <w:outlineLvl w:val="1"/>
    </w:pPr>
    <w:rPr>
      <w:rFonts w:ascii="Cambria" w:hAnsi="Cambria" w:cs="Cambria"/>
      <w:b/>
      <w:bCs/>
      <w:sz w:val="32"/>
      <w:szCs w:val="32"/>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semiHidden/>
    <w:unhideWhenUsed/>
    <w:qFormat/>
    <w:uiPriority w:val="99"/>
    <w:pPr>
      <w:tabs>
        <w:tab w:val="center" w:pos="4153"/>
        <w:tab w:val="right" w:pos="8306"/>
      </w:tabs>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6"/>
    <w:link w:val="4"/>
    <w:semiHidden/>
    <w:qFormat/>
    <w:uiPriority w:val="99"/>
    <w:rPr>
      <w:rFonts w:ascii="Tahoma" w:hAnsi="Tahoma"/>
      <w:sz w:val="18"/>
      <w:szCs w:val="18"/>
    </w:rPr>
  </w:style>
  <w:style w:type="character" w:customStyle="1" w:styleId="8">
    <w:name w:val="页脚 Char"/>
    <w:basedOn w:val="6"/>
    <w:link w:val="3"/>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D74907B-D35E-44BA-B703-FE382B462213}">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6967</Words>
  <Characters>7562</Characters>
  <Lines>59</Lines>
  <Paragraphs>16</Paragraphs>
  <TotalTime>3</TotalTime>
  <ScaleCrop>false</ScaleCrop>
  <LinksUpToDate>false</LinksUpToDate>
  <CharactersWithSpaces>7685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2022-06-06T08:10:00Z</dcterms:created>
  <dc:creator>Administrator</dc:creator>
  <cp:lastModifiedBy>流星雨</cp:lastModifiedBy>
  <dcterms:modified xsi:type="dcterms:W3CDTF">2023-05-11T08:28:48Z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AF338851C078421198E9EBA0CC2A0D53</vt:lpwstr>
  </property>
</Properties>
</file>