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307平顺县科学技术协会2021年度部门决算公开</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目      录</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第一部分    概况</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一、本部门职责</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二、机构设置情况</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三、年度工作计划及执行情况</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第二部分    2021年度部门决算报表</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一、收入支出决算总表</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二、收入决算表</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三、支出决算表</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四、财政拨款收入支出决算总表</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五、一般公共预算财政拨款支出决算表（一）</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六、一般公共预算财政拨款支出决算表（二）</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七、一般公共预算财政拨款“三公”经费支出决算表</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八、政府性基金预算财政拨款收入支出决算表</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九、国有资本经营预算财政拨款支出决算表</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十、部门决算公开相关信息统计表</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第三部分   2021年度部门决算情况说明</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一、收入支出决算总体情况说明</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二、收入决算情况说明</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三、支出决算情况说明</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四、财政拨款收入支出决算总体情况说明</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五、一般公共预算财政拨款支出决算情况说明</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六、一般公共预算财政拨款基本支出决算情况说明</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七、一般公共预算财政拨款“三公”经费支出决算情况说明</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八、其他重要事项情况说明</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第四部分    名词解释</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第五部分    附件</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第一部分概况</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一、本部门职责</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(1)密切联系科学技术工作者，宣传党的路线方针政策，反映科学技术工作者的建议、意见和诉求，维护科学技术工作者的合法权益，建设科技工作者之家。</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(2)开展学术交流，活跃学术思想，倡导学术民主，优化学术环境，促进学科发展,推进国家创新体系建设。</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(3)组织科学技术工作者开展科技创新，参与科学论证和咨询服务，加快科学技术成果转化应用，助力创新发展，为增强企业自主创新能力作贡献。</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(4)弘扬科学精神，普及科学知识，推广先进技术，传播科学思想和科学方法，捍卫科学尊严，提高全民科学素质。</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(5)健全科学共同体的自律功能，推动建立和完善科学研究诚信监督机制，促进科学道德建设和学风建设，宣传优秀科学技术工作者，培育科学文化，践行社会主义核心价值观。</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(6)组织科学技术工作者参与国家科技战略、规划、布局、政策、法律法规的咨询制定和国家事务的政治协商、科学决策、民主监督工作，建设中国特色高水平科技创新智库。</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(7)组织所属学会有序承接科技评估、工程技术领域职业资格认定、技术标准研制、国家科技奖励推荐等政府委托工作或转移职能。</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(8)注重激发青少年科技兴趣，发现培养杰出青年科学家和创新团队，表彰奖励优秀科学技术工作者，举荐科学技术人才。</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(9)开展民间国际科学技术交流活动，促进国际科学技术合作，发展同国(境)外科学技术团体和科学技术工作者的友好交往，为海外科技人才来华创新创业提供服务。</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(10)兴办符合中国科学技术协会宗旨的社会公益性事业。</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二、机构设置情况</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 根据部门职责分工，本部门内设机构包括办公室、学会股、普及股。本部门无下属单位。</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 从决算单位构成看，纳入平顺县科学技术协会部门2021年部门汇总决算编制范围的预算单位共计1家，具体包括：平顺县科学技术协会部门本级。</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三、年度工作计划及执行情况</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1.认真开展好党史教育主题活动，全面贯彻落实《全民科学素质纲要》。2、发挥桥梁纽带作用，努力为科技工作者提供优质高效服务。3、履行科普主力职责，扩大公众科普活动影响力。4、实施基层科普行动计划，提升惠民科普服务能力。5、加强科协自身建设，促进科普事业健康发展。</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第二部分 2021年度部门决算报表（见附表1）</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一、收入支出决算总表</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二、收入决算表</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三、支出决算表</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四、财政拨款收入支出决算总表</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五、一般公共预算财政拨款支出决算表（一）</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六、一般公共预算财政拨款支出决算表（二）</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七、一般公共预算财政拨款“三公”经费支出决算表</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八、政府性基金预算财政拨款收入支出决算表</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九、国有资本经营预算财政   拨款支出决算表</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十、部门决算公开相关信息统计表</w:t>
      </w:r>
    </w:p>
    <w:p>
      <w:pPr>
        <w:keepNext w:val="0"/>
        <w:keepLines w:val="0"/>
        <w:pageBreakBefore w:val="0"/>
        <w:widowControl/>
        <w:kinsoku/>
        <w:wordWrap/>
        <w:overflowPunct/>
        <w:topLinePunct w:val="0"/>
        <w:bidi w:val="0"/>
        <w:adjustRightInd w:val="0"/>
        <w:snapToGrid w:val="0"/>
        <w:spacing w:after="0" w:line="500" w:lineRule="exact"/>
        <w:ind w:firstLine="420" w:firstLine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备注</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我单位没有使用</w:t>
      </w:r>
      <w:r>
        <w:rPr>
          <w:rFonts w:hint="eastAsia" w:asciiTheme="majorEastAsia" w:hAnsiTheme="majorEastAsia" w:eastAsiaTheme="majorEastAsia" w:cstheme="majorEastAsia"/>
          <w:sz w:val="28"/>
          <w:szCs w:val="28"/>
        </w:rPr>
        <w:t>政府性基金预算财政拨款收入支出</w:t>
      </w:r>
      <w:r>
        <w:rPr>
          <w:rFonts w:hint="eastAsia" w:asciiTheme="majorEastAsia" w:hAnsiTheme="majorEastAsia" w:eastAsiaTheme="majorEastAsia" w:cstheme="majorEastAsia"/>
          <w:sz w:val="28"/>
          <w:szCs w:val="28"/>
          <w:lang w:val="en-US" w:eastAsia="zh-CN"/>
        </w:rPr>
        <w:t>和</w:t>
      </w:r>
      <w:r>
        <w:rPr>
          <w:rFonts w:hint="eastAsia" w:asciiTheme="majorEastAsia" w:hAnsiTheme="majorEastAsia" w:eastAsiaTheme="majorEastAsia" w:cstheme="majorEastAsia"/>
          <w:sz w:val="28"/>
          <w:szCs w:val="28"/>
        </w:rPr>
        <w:t>国有资本经营预算财政拨款支出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故无数据。</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第三部分 2021年度部门决算情况说明</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一、收入支出决算总体情况说明</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2021年度收入总计74.13万元、支出总计74.13万元。与上年相比，收入总计增加0.17万元，增加0.22%，支出总计增加0.17万元，增加0.22%。主要原因是正常调资。</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二、收入决算情况说明</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2021年度收入合计74.13万元，其中：财政拨款收入74.13万元，占比100%；上级补助收入0万元，占比0%；事业收入0万元，占比0%；经营收入0万元，占比0%；附属单位上缴收入0万元，占比0%；其他收入0万元，占比0%。</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三、支出决算情况说明</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2021年度支出合计74.13万元，其中：基本支出72.97万元，占比98.44%；项目支出1.16万元，占比1.56%；上缴上级支出0万元，占比0%，经营支出0万元，占比0%， 对附属单位补助支出0万元，占比0%。</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四、财政拨款收入支出决算总体情况说明</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2021年度财政拨款收入总计74.13万元、支出总计74.13万元。与上年相比，财政拨款收入总计增加0.17万元，增加0.22%，财政拨款支出总计增加74.13万元，减少2.5%。主要原因是</w:t>
      </w:r>
      <w:r>
        <w:rPr>
          <w:rFonts w:hint="eastAsia" w:asciiTheme="majorEastAsia" w:hAnsiTheme="majorEastAsia" w:eastAsiaTheme="majorEastAsia" w:cstheme="majorEastAsia"/>
          <w:sz w:val="28"/>
          <w:szCs w:val="28"/>
        </w:rPr>
        <w:t>减少开支厉行节约。</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五、一般公共预算财政拨款支出决算情况说明</w:t>
      </w:r>
    </w:p>
    <w:p>
      <w:pPr>
        <w:keepNext w:val="0"/>
        <w:keepLines w:val="0"/>
        <w:pageBreakBefore w:val="0"/>
        <w:widowControl/>
        <w:kinsoku/>
        <w:wordWrap/>
        <w:overflowPunct/>
        <w:topLinePunct w:val="0"/>
        <w:bidi w:val="0"/>
        <w:adjustRightInd w:val="0"/>
        <w:snapToGrid w:val="0"/>
        <w:spacing w:after="0" w:line="500" w:lineRule="exact"/>
        <w:ind w:firstLine="422" w:firstLineChars="15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（一）财政拨款支出决算总体情况</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2021年度财政拨款支出74.13万元，占本年支出合计的100%。与上年相比，财政拨款支出减少1.90万元，减少2.5%。主要原因是</w:t>
      </w:r>
      <w:r>
        <w:rPr>
          <w:rFonts w:hint="eastAsia" w:asciiTheme="majorEastAsia" w:hAnsiTheme="majorEastAsia" w:eastAsiaTheme="majorEastAsia" w:cstheme="majorEastAsia"/>
          <w:sz w:val="28"/>
          <w:szCs w:val="28"/>
        </w:rPr>
        <w:t>减少开支厉行节约</w:t>
      </w:r>
      <w:r>
        <w:rPr>
          <w:rFonts w:hint="eastAsia" w:asciiTheme="majorEastAsia" w:hAnsiTheme="majorEastAsia" w:eastAsiaTheme="majorEastAsia" w:cstheme="majorEastAsia"/>
          <w:sz w:val="28"/>
          <w:szCs w:val="28"/>
        </w:rPr>
        <w:t>。其中，人员经费67万元，占比90.38%， 日常公用经费5.97万元，占比8.05%。</w:t>
      </w:r>
    </w:p>
    <w:p>
      <w:pPr>
        <w:keepNext w:val="0"/>
        <w:keepLines w:val="0"/>
        <w:pageBreakBefore w:val="0"/>
        <w:widowControl/>
        <w:kinsoku/>
        <w:wordWrap/>
        <w:overflowPunct/>
        <w:topLinePunct w:val="0"/>
        <w:bidi w:val="0"/>
        <w:adjustRightInd w:val="0"/>
        <w:snapToGrid w:val="0"/>
        <w:spacing w:after="0" w:line="500" w:lineRule="exact"/>
        <w:ind w:firstLine="422" w:firstLineChars="15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（二）财政拨款支出决算结构情况</w:t>
      </w:r>
    </w:p>
    <w:p>
      <w:pPr>
        <w:keepNext w:val="0"/>
        <w:keepLines w:val="0"/>
        <w:pageBreakBefore w:val="0"/>
        <w:widowControl/>
        <w:kinsoku/>
        <w:wordWrap/>
        <w:overflowPunct/>
        <w:topLinePunct w:val="0"/>
        <w:autoSpaceDE/>
        <w:autoSpaceDN/>
        <w:bidi w:val="0"/>
        <w:adjustRightInd w:val="0"/>
        <w:snapToGrid w:val="0"/>
        <w:spacing w:after="0" w:line="50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2021年度财政拨款支出74.13万元，主要用于以下方面：一般公共服务（类）支出0.95万元，占1.28%；外交（类）支出0万元，占0%；国防（类）支出0万元，占0%；公共安全（类）支出0万元，占0%；教育（类）支出0万元，占0%；科学技术（类）支出56.12万元，占75.70%；文化旅游体育与传媒（类）支出0万元，占0%；社会保障和就业（类）支出8.23万元，</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t>占11.10%；卫生健康（类）支出3.07万元，占4.14%；节能环保（类）支出0万元，占0%；城乡社区（类）支出0万元，占0%；农林水（类）支出0万元，占0%；交通运输（类）支出0万元，占0%；资源勘探工业信息等（类）支出0万元，占0%；商业服务业等（类）支出0万元，占0%；金融（类）支出0万元，占0%；援助其他地区（类）支出0万元，占0%；自然资源海洋气象等（类）支出0万元，占0%；住房保障（类）支出5.76万元，占7.77%；粮油物资储备（类）支出0万元，占0%；国有资本经营预算（类）支出0万元，占0%；灾害防治及应急管理（类）支出0万元，占0%；其（类）支出0万元，占0%；债务还本（类）支出0万元，占0%；债务付息（类）支出0万元，占0%；抗疫特别国债安排（类）支出0万元，占0%</w:t>
      </w:r>
      <w:r>
        <w:rPr>
          <w:rFonts w:hint="eastAsia" w:asciiTheme="majorEastAsia" w:hAnsiTheme="majorEastAsia" w:eastAsiaTheme="majorEastAsia" w:cstheme="majorEastAsia"/>
          <w:sz w:val="28"/>
          <w:szCs w:val="28"/>
          <w:lang w:val="en-US" w:eastAsia="zh-CN"/>
        </w:rPr>
        <w:t>.</w:t>
      </w:r>
    </w:p>
    <w:p>
      <w:pPr>
        <w:keepNext w:val="0"/>
        <w:keepLines w:val="0"/>
        <w:pageBreakBefore w:val="0"/>
        <w:widowControl/>
        <w:kinsoku/>
        <w:wordWrap/>
        <w:overflowPunct/>
        <w:topLinePunct w:val="0"/>
        <w:bidi w:val="0"/>
        <w:adjustRightInd w:val="0"/>
        <w:snapToGrid w:val="0"/>
        <w:spacing w:after="0" w:line="500" w:lineRule="exact"/>
        <w:ind w:firstLine="422" w:firstLineChars="15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（三）财政拨款支出决算具体情况</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2021年度财政拨款支出年初预算75.42万元，支出决算74.13万元，完成年初预算的98.29%。其中：</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一般公共服务支出年初预算0.95万元，支出决算0.95万元完成年初预算的100%，用于一般公共服务支出较上年决算增加0.12万元，增长14.46%，主要原因正常调资致增长; 公共安全（类）支出年初预算0万元，支出决算0万元完成年初预算的0%，用于 公共安全（类）支出较上年决算增加0万元，增长0%，主要原因无; 教育支出年初预算0万元，支出决算0万元完成年初预算的0%，用于教育支出较上年决算增加0万元，增长0%，主要原因无;</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t>科学技术支出年初预算56.91万元，支出决算56.12万元，完成年初预算的98.61%，用于科学技术支出较上年决算减少4.32万元，减少7.15%，主要原因厉行节约减少开支; 文化旅游体育与传媒支出年初预算0万元，支出决算0万元完成年初预算的0%，用于文化旅游体育与传媒支出较上年决算增加0万元，增长0%，主要原因无; 社会保障和就业支出年初预算8.02万元，支出决算8.23万元完成年初预算的102.62%，用于 社会保障和就业支出较上年决算增加1.97万元，增长31.47%，主要原因理顺并补交以前年度养老保险财政配套; 卫生健康支出年初预算3.35万元，支出决算3.08万元完成年初预算的91.94%，用于卫生健康支出较上年决算减少0.12万元，减少3.75%，主要原因单位人员自然流动所致;</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t>节能环保支出年初预算0万元，支出决算0万元完成年初预算的0%，用于节能环保支出较上年决算增加0万元，增长0%，主要原因无; 城乡社区支出年初预算0万元，支出决算0万元完成年初预算的0%，用于城乡社区支出较上年决算增加0万元，增长0%，主要原因无;</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t>农林水支出年初预算0万元，支出决算0万元完成年初预算的0%，用于农林水支出较上年决算增加0万元，增长0%，主要原因无;</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t>交通运输支出年初预算0万元，支出决算0万元完成年初预算的0%，用于交通运输支出较上年决算增加0万元，增长0%，主要原因无;</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t>资源勘探工业信息等支出年初预算0万元，支出决算0万元完成年初预算的0%，用于资源勘探工业信息等支出较上年决算增加0万元，增长0%，主要原因无; 商业服务业等支出年初预算0万元，支出决算0万元完成年初预算的0%，用于商业服务业等支出较上年决算增加0万元，增长0%，主要原因无; 金融支出年初预算0万元，支出决算0万元完成年初预算的0%，用于金融支出较上年决算增加0万元，增长0%，主要原因无; 援助其他地区支出年初预算0万元，支出决算0万元完成年初预算的0%，用于援助其他地区较上年决算增加0万元，增长0%，主要原因无; 自然资源海洋气象等支出年初预算0万元，支出决算0万元完成年初预算的0%，用于……较上年决算增加0万元，增长0%，主要原因无; 住房保障支出年初预算6.19万元，支出决算5.76万元完成年初预算的93.05%，用于住房保障支出较上年决算增加0.45万元，增长8.47%，主要原因无; 粮油物资储备支出年初预算0万元，支出决算0万元完成年初预算的0%，用于粮油物资储备支出较上年决算增加0万元，增长0%，主要原因无; 国有资本经营预算支出年初预算0万元，支出决算0万元完成年初预算的0%，用于国有资本经营预算支出较上年决算增加0万元，增长0%，主要原因无;</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t>灾害防治及应急管理支出年初预算0万元，支出决算0万元完成年初预算的0%，用于灾害防治及应急管理支出较上年决算增加0万元，增长0%，主要原因无;</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t>其他支出年初预算0万元，支出决算0万元完成年初预算的0%，用于其他支出较上年决算增加0万元，增长0%，主要原因0.; 债务还本支出年初预算0万元，支出决算0万元完成年初预算的0%，用于债务还本支出较上年决算增加0万元，增长0%，主要原因无; 债务付息支出年初预算0万元，支出决算0万元完成年初预算的0%，用于债务付息支出较上年决算增加0万元，增长0%，主要原因无; 抗疫特别国债安排的支出年初预算0万元，支出决算0万元完成年初预算的0%，用于抗疫特别国债安排的支出较上年决算增加0万元，增长0%，主要原因无。</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六、一般公共预算财政拨款基本支出决算情况说明</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2021年度财政拨款基本支出72.97万元，其中：人员经费67万元，主要包括工资福利支出、对个人和家庭的补助；公用经费5.97万元，主要包括商品和服务支出。</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七、一般公共预算财政拨款“三公”经费支出决算情况说明</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（一）“三公”经费财政拨款支出决算总体情况说明。</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2021年度“三公”经费财政拨款支出预算0.01万元，支出决算0.04万元，完成预算的400%，比上年减少0.16万元，减少80%，主要原因是：根据单位实际招待情况进行支出。</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（二）“三公”经费财政拨款支出决算具体情况说明。</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部门应对“三公”经费分项数额与年初预算数、上年支出数进行对比，说明增减变动原因，并按照实物量与价值量匹配原则，细化说明“三公”经费支出相关的因公出国（境）团组数及人数、公务用车购置数及保有量、国内公务接待的批次及人数等情况。“三公”经费支出口径应在专业名词解释中予以说明。无三公经费的部门，须说明本部门无三公经费。</w:t>
      </w:r>
    </w:p>
    <w:p>
      <w:pPr>
        <w:keepNext w:val="0"/>
        <w:keepLines w:val="0"/>
        <w:pageBreakBefore w:val="0"/>
        <w:widowControl/>
        <w:kinsoku/>
        <w:wordWrap/>
        <w:overflowPunct/>
        <w:topLinePunct w:val="0"/>
        <w:bidi w:val="0"/>
        <w:adjustRightInd w:val="0"/>
        <w:snapToGrid w:val="0"/>
        <w:spacing w:after="0" w:line="500" w:lineRule="exact"/>
        <w:ind w:firstLine="636"/>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（1）与预算数比较</w:t>
      </w:r>
    </w:p>
    <w:tbl>
      <w:tblPr>
        <w:tblStyle w:val="5"/>
        <w:tblW w:w="0" w:type="auto"/>
        <w:tblInd w:w="91" w:type="dxa"/>
        <w:tblLayout w:type="fixed"/>
        <w:tblCellMar>
          <w:top w:w="0" w:type="dxa"/>
          <w:left w:w="108" w:type="dxa"/>
          <w:bottom w:w="0" w:type="dxa"/>
          <w:right w:w="108" w:type="dxa"/>
        </w:tblCellMar>
      </w:tblPr>
      <w:tblGrid>
        <w:gridCol w:w="2946"/>
        <w:gridCol w:w="1757"/>
        <w:gridCol w:w="1695"/>
        <w:gridCol w:w="2033"/>
      </w:tblGrid>
      <w:tr>
        <w:tblPrEx>
          <w:tblCellMar>
            <w:top w:w="0" w:type="dxa"/>
            <w:left w:w="108" w:type="dxa"/>
            <w:bottom w:w="0" w:type="dxa"/>
            <w:right w:w="108" w:type="dxa"/>
          </w:tblCellMar>
        </w:tblPrEx>
        <w:trPr>
          <w:trHeight w:val="540" w:hRule="atLeast"/>
        </w:trPr>
        <w:tc>
          <w:tcPr>
            <w:tcW w:w="2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2021三公经费明细</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预算数（万元）</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决算数（万元）</w:t>
            </w:r>
          </w:p>
        </w:tc>
        <w:tc>
          <w:tcPr>
            <w:tcW w:w="203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决算完成预算比例%</w:t>
            </w:r>
          </w:p>
        </w:tc>
      </w:tr>
      <w:tr>
        <w:tblPrEx>
          <w:tblCellMar>
            <w:top w:w="0" w:type="dxa"/>
            <w:left w:w="108" w:type="dxa"/>
            <w:bottom w:w="0" w:type="dxa"/>
            <w:right w:w="108" w:type="dxa"/>
          </w:tblCellMar>
        </w:tblPrEx>
        <w:trPr>
          <w:trHeight w:val="552" w:hRule="atLeast"/>
        </w:trPr>
        <w:tc>
          <w:tcPr>
            <w:tcW w:w="2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合</w:t>
            </w:r>
            <w:r>
              <w:rPr>
                <w:rFonts w:hint="eastAsia" w:asciiTheme="majorEastAsia" w:hAnsiTheme="majorEastAsia" w:eastAsiaTheme="majorEastAsia" w:cstheme="majorEastAsia"/>
                <w:b/>
                <w:bCs/>
                <w:color w:val="000000"/>
                <w:sz w:val="21"/>
                <w:szCs w:val="21"/>
                <w:lang w:val="en-US" w:eastAsia="zh-CN"/>
              </w:rPr>
              <w:t xml:space="preserve">  </w:t>
            </w:r>
            <w:r>
              <w:rPr>
                <w:rFonts w:hint="eastAsia" w:asciiTheme="majorEastAsia" w:hAnsiTheme="majorEastAsia" w:eastAsiaTheme="majorEastAsia" w:cstheme="majorEastAsia"/>
                <w:b/>
                <w:bCs/>
                <w:color w:val="000000"/>
                <w:sz w:val="21"/>
                <w:szCs w:val="21"/>
              </w:rPr>
              <w:t>计</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0.01</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0.04</w:t>
            </w:r>
          </w:p>
        </w:tc>
        <w:tc>
          <w:tcPr>
            <w:tcW w:w="203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400</w:t>
            </w:r>
          </w:p>
        </w:tc>
      </w:tr>
      <w:tr>
        <w:tblPrEx>
          <w:tblCellMar>
            <w:top w:w="0" w:type="dxa"/>
            <w:left w:w="108" w:type="dxa"/>
            <w:bottom w:w="0" w:type="dxa"/>
            <w:right w:w="108" w:type="dxa"/>
          </w:tblCellMar>
        </w:tblPrEx>
        <w:trPr>
          <w:trHeight w:val="540" w:hRule="atLeast"/>
        </w:trPr>
        <w:tc>
          <w:tcPr>
            <w:tcW w:w="2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因公出国（境）费</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203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r>
      <w:tr>
        <w:tblPrEx>
          <w:tblCellMar>
            <w:top w:w="0" w:type="dxa"/>
            <w:left w:w="108" w:type="dxa"/>
            <w:bottom w:w="0" w:type="dxa"/>
            <w:right w:w="108" w:type="dxa"/>
          </w:tblCellMar>
        </w:tblPrEx>
        <w:trPr>
          <w:trHeight w:val="540" w:hRule="atLeast"/>
        </w:trPr>
        <w:tc>
          <w:tcPr>
            <w:tcW w:w="2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公务用车购置及运行维护费</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203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r>
      <w:tr>
        <w:tblPrEx>
          <w:tblCellMar>
            <w:top w:w="0" w:type="dxa"/>
            <w:left w:w="108" w:type="dxa"/>
            <w:bottom w:w="0" w:type="dxa"/>
            <w:right w:w="108" w:type="dxa"/>
          </w:tblCellMar>
        </w:tblPrEx>
        <w:trPr>
          <w:trHeight w:val="540" w:hRule="atLeast"/>
        </w:trPr>
        <w:tc>
          <w:tcPr>
            <w:tcW w:w="2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其中：公务用车购置费</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203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r>
      <w:tr>
        <w:tblPrEx>
          <w:tblCellMar>
            <w:top w:w="0" w:type="dxa"/>
            <w:left w:w="108" w:type="dxa"/>
            <w:bottom w:w="0" w:type="dxa"/>
            <w:right w:w="108" w:type="dxa"/>
          </w:tblCellMar>
        </w:tblPrEx>
        <w:trPr>
          <w:trHeight w:val="540" w:hRule="atLeast"/>
        </w:trPr>
        <w:tc>
          <w:tcPr>
            <w:tcW w:w="2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公务用车运行维护费</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203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r>
      <w:tr>
        <w:tblPrEx>
          <w:tblCellMar>
            <w:top w:w="0" w:type="dxa"/>
            <w:left w:w="108" w:type="dxa"/>
            <w:bottom w:w="0" w:type="dxa"/>
            <w:right w:w="108" w:type="dxa"/>
          </w:tblCellMar>
        </w:tblPrEx>
        <w:trPr>
          <w:trHeight w:val="540" w:hRule="atLeast"/>
        </w:trPr>
        <w:tc>
          <w:tcPr>
            <w:tcW w:w="2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ind w:firstLine="840" w:firstLineChars="40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公务接待费</w:t>
            </w:r>
          </w:p>
        </w:tc>
        <w:tc>
          <w:tcPr>
            <w:tcW w:w="1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0.01</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0.04</w:t>
            </w:r>
          </w:p>
        </w:tc>
        <w:tc>
          <w:tcPr>
            <w:tcW w:w="203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400</w:t>
            </w:r>
          </w:p>
        </w:tc>
      </w:tr>
    </w:tbl>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（2）上下年度比较</w:t>
      </w:r>
    </w:p>
    <w:tbl>
      <w:tblPr>
        <w:tblStyle w:val="5"/>
        <w:tblW w:w="8431" w:type="dxa"/>
        <w:tblInd w:w="91" w:type="dxa"/>
        <w:tblLayout w:type="fixed"/>
        <w:tblCellMar>
          <w:top w:w="0" w:type="dxa"/>
          <w:left w:w="108" w:type="dxa"/>
          <w:bottom w:w="0" w:type="dxa"/>
          <w:right w:w="108" w:type="dxa"/>
        </w:tblCellMar>
      </w:tblPr>
      <w:tblGrid>
        <w:gridCol w:w="2888"/>
        <w:gridCol w:w="1275"/>
        <w:gridCol w:w="1320"/>
        <w:gridCol w:w="1515"/>
        <w:gridCol w:w="1433"/>
      </w:tblGrid>
      <w:tr>
        <w:tblPrEx>
          <w:tblCellMar>
            <w:top w:w="0" w:type="dxa"/>
            <w:left w:w="108" w:type="dxa"/>
            <w:bottom w:w="0" w:type="dxa"/>
            <w:right w:w="108" w:type="dxa"/>
          </w:tblCellMar>
        </w:tblPrEx>
        <w:trPr>
          <w:trHeight w:val="510" w:hRule="atLeast"/>
        </w:trPr>
        <w:tc>
          <w:tcPr>
            <w:tcW w:w="288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三公经费明细</w:t>
            </w:r>
          </w:p>
        </w:tc>
        <w:tc>
          <w:tcPr>
            <w:tcW w:w="2595"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决算数（万元）</w:t>
            </w:r>
          </w:p>
        </w:tc>
        <w:tc>
          <w:tcPr>
            <w:tcW w:w="15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比上年增加</w:t>
            </w:r>
          </w:p>
        </w:tc>
        <w:tc>
          <w:tcPr>
            <w:tcW w:w="1433" w:type="dxa"/>
            <w:vMerge w:val="restart"/>
            <w:tcBorders>
              <w:top w:val="single" w:color="auto" w:sz="4" w:space="0"/>
              <w:left w:val="nil"/>
              <w:right w:val="single" w:color="auto" w:sz="4" w:space="0"/>
            </w:tcBorders>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比上年增加比例%</w:t>
            </w:r>
          </w:p>
        </w:tc>
      </w:tr>
      <w:tr>
        <w:tblPrEx>
          <w:tblCellMar>
            <w:top w:w="0" w:type="dxa"/>
            <w:left w:w="108" w:type="dxa"/>
            <w:bottom w:w="0" w:type="dxa"/>
            <w:right w:w="108" w:type="dxa"/>
          </w:tblCellMar>
        </w:tblPrEx>
        <w:trPr>
          <w:trHeight w:val="292" w:hRule="atLeast"/>
        </w:trPr>
        <w:tc>
          <w:tcPr>
            <w:tcW w:w="288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bCs/>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2021</w:t>
            </w:r>
          </w:p>
        </w:tc>
        <w:tc>
          <w:tcPr>
            <w:tcW w:w="13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2020</w:t>
            </w:r>
          </w:p>
        </w:tc>
        <w:tc>
          <w:tcPr>
            <w:tcW w:w="15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2021-2020</w:t>
            </w:r>
          </w:p>
        </w:tc>
        <w:tc>
          <w:tcPr>
            <w:tcW w:w="1433" w:type="dxa"/>
            <w:vMerge w:val="continue"/>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p>
        </w:tc>
      </w:tr>
      <w:tr>
        <w:tblPrEx>
          <w:tblCellMar>
            <w:top w:w="0" w:type="dxa"/>
            <w:left w:w="108" w:type="dxa"/>
            <w:bottom w:w="0" w:type="dxa"/>
            <w:right w:w="108" w:type="dxa"/>
          </w:tblCellMar>
        </w:tblPrEx>
        <w:trPr>
          <w:trHeight w:val="540" w:hRule="atLeast"/>
        </w:trPr>
        <w:tc>
          <w:tcPr>
            <w:tcW w:w="288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合</w:t>
            </w:r>
            <w:r>
              <w:rPr>
                <w:rFonts w:hint="eastAsia" w:asciiTheme="majorEastAsia" w:hAnsiTheme="majorEastAsia" w:eastAsiaTheme="majorEastAsia" w:cstheme="majorEastAsia"/>
                <w:b/>
                <w:bCs/>
                <w:color w:val="000000"/>
                <w:sz w:val="21"/>
                <w:szCs w:val="21"/>
                <w:lang w:val="en-US" w:eastAsia="zh-CN"/>
              </w:rPr>
              <w:t xml:space="preserve">   </w:t>
            </w:r>
            <w:r>
              <w:rPr>
                <w:rFonts w:hint="eastAsia" w:asciiTheme="majorEastAsia" w:hAnsiTheme="majorEastAsia" w:eastAsiaTheme="majorEastAsia" w:cstheme="majorEastAsia"/>
                <w:b/>
                <w:bCs/>
                <w:color w:val="000000"/>
                <w:sz w:val="21"/>
                <w:szCs w:val="21"/>
              </w:rPr>
              <w:t>计</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0.04</w:t>
            </w:r>
          </w:p>
        </w:tc>
        <w:tc>
          <w:tcPr>
            <w:tcW w:w="13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0.2</w:t>
            </w:r>
          </w:p>
        </w:tc>
        <w:tc>
          <w:tcPr>
            <w:tcW w:w="15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-0.16</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-80</w:t>
            </w:r>
          </w:p>
        </w:tc>
      </w:tr>
      <w:tr>
        <w:tblPrEx>
          <w:tblCellMar>
            <w:top w:w="0" w:type="dxa"/>
            <w:left w:w="108" w:type="dxa"/>
            <w:bottom w:w="0" w:type="dxa"/>
            <w:right w:w="108" w:type="dxa"/>
          </w:tblCellMar>
        </w:tblPrEx>
        <w:trPr>
          <w:trHeight w:val="540" w:hRule="atLeast"/>
        </w:trPr>
        <w:tc>
          <w:tcPr>
            <w:tcW w:w="2888"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因公出国（境）费</w:t>
            </w:r>
          </w:p>
        </w:tc>
        <w:tc>
          <w:tcPr>
            <w:tcW w:w="127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32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5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r>
      <w:tr>
        <w:tblPrEx>
          <w:tblCellMar>
            <w:top w:w="0" w:type="dxa"/>
            <w:left w:w="108" w:type="dxa"/>
            <w:bottom w:w="0" w:type="dxa"/>
            <w:right w:w="108" w:type="dxa"/>
          </w:tblCellMar>
        </w:tblPrEx>
        <w:trPr>
          <w:trHeight w:val="540" w:hRule="atLeast"/>
        </w:trPr>
        <w:tc>
          <w:tcPr>
            <w:tcW w:w="28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公务用车购置及运行维护费</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3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5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r>
      <w:tr>
        <w:tblPrEx>
          <w:tblCellMar>
            <w:top w:w="0" w:type="dxa"/>
            <w:left w:w="108" w:type="dxa"/>
            <w:bottom w:w="0" w:type="dxa"/>
            <w:right w:w="108" w:type="dxa"/>
          </w:tblCellMar>
        </w:tblPrEx>
        <w:trPr>
          <w:trHeight w:val="540" w:hRule="atLeast"/>
        </w:trPr>
        <w:tc>
          <w:tcPr>
            <w:tcW w:w="28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其中：公务用车购置费</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3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5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r>
      <w:tr>
        <w:tblPrEx>
          <w:tblCellMar>
            <w:top w:w="0" w:type="dxa"/>
            <w:left w:w="108" w:type="dxa"/>
            <w:bottom w:w="0" w:type="dxa"/>
            <w:right w:w="108" w:type="dxa"/>
          </w:tblCellMar>
        </w:tblPrEx>
        <w:trPr>
          <w:trHeight w:val="540" w:hRule="atLeast"/>
        </w:trPr>
        <w:tc>
          <w:tcPr>
            <w:tcW w:w="28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公务用车运行维护费</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3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5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r>
      <w:tr>
        <w:tblPrEx>
          <w:tblCellMar>
            <w:top w:w="0" w:type="dxa"/>
            <w:left w:w="108" w:type="dxa"/>
            <w:bottom w:w="0" w:type="dxa"/>
            <w:right w:w="108" w:type="dxa"/>
          </w:tblCellMar>
        </w:tblPrEx>
        <w:trPr>
          <w:trHeight w:val="540" w:hRule="atLeast"/>
        </w:trPr>
        <w:tc>
          <w:tcPr>
            <w:tcW w:w="28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ind w:firstLine="630" w:firstLineChars="30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公务接待费</w:t>
            </w:r>
          </w:p>
        </w:tc>
        <w:tc>
          <w:tcPr>
            <w:tcW w:w="127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0.04</w:t>
            </w:r>
          </w:p>
        </w:tc>
        <w:tc>
          <w:tcPr>
            <w:tcW w:w="132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0.2</w:t>
            </w:r>
          </w:p>
        </w:tc>
        <w:tc>
          <w:tcPr>
            <w:tcW w:w="15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-0.16</w:t>
            </w:r>
          </w:p>
        </w:tc>
        <w:tc>
          <w:tcPr>
            <w:tcW w:w="14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-80</w:t>
            </w:r>
          </w:p>
        </w:tc>
      </w:tr>
    </w:tbl>
    <w:p>
      <w:pPr>
        <w:keepNext w:val="0"/>
        <w:keepLines w:val="0"/>
        <w:pageBreakBefore w:val="0"/>
        <w:widowControl/>
        <w:kinsoku/>
        <w:wordWrap/>
        <w:overflowPunct/>
        <w:topLinePunct w:val="0"/>
        <w:bidi w:val="0"/>
        <w:adjustRightInd w:val="0"/>
        <w:snapToGrid w:val="0"/>
        <w:spacing w:after="0" w:line="500" w:lineRule="exact"/>
        <w:ind w:firstLine="636"/>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（3）具体情况说明</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2021年一般公共预算安排的“三公”经费年初预算0.01万元，支出决算　0.04万元，完成年初预算的400%，比上年增加-0.16万元，增长-80%。其中：因公出国（境）费用年初预算0万元，支出决算0万元，完成年初预算的0%，比上年增加0万元，增长0%，原因是我单位2021年度未发生因公出国（境）费用（全年使用一般公共预算拨款支出安排的出国（境）团组0个，累计0人次）；其中公务用车购置及运行维护费用年</w:t>
      </w:r>
      <w:r>
        <w:rPr>
          <w:rFonts w:hint="eastAsia" w:asciiTheme="majorEastAsia" w:hAnsiTheme="majorEastAsia" w:eastAsiaTheme="majorEastAsia" w:cstheme="majorEastAsia"/>
          <w:sz w:val="28"/>
          <w:szCs w:val="28"/>
        </w:rPr>
        <w:t>初预算</w:t>
      </w:r>
      <w:r>
        <w:rPr>
          <w:rFonts w:hint="eastAsia" w:asciiTheme="majorEastAsia" w:hAnsiTheme="majorEastAsia" w:eastAsiaTheme="majorEastAsia" w:cstheme="majorEastAsia"/>
          <w:color w:val="000000"/>
          <w:sz w:val="28"/>
          <w:szCs w:val="28"/>
        </w:rPr>
        <w:t>　0</w:t>
      </w:r>
      <w:r>
        <w:rPr>
          <w:rFonts w:hint="eastAsia" w:asciiTheme="majorEastAsia" w:hAnsiTheme="majorEastAsia" w:eastAsiaTheme="majorEastAsia" w:cstheme="majorEastAsia"/>
          <w:sz w:val="28"/>
          <w:szCs w:val="28"/>
        </w:rPr>
        <w:t>万元，支出决算</w:t>
      </w:r>
      <w:r>
        <w:rPr>
          <w:rFonts w:hint="eastAsia" w:asciiTheme="majorEastAsia" w:hAnsiTheme="majorEastAsia" w:eastAsiaTheme="majorEastAsia" w:cstheme="majorEastAsia"/>
          <w:color w:val="000000"/>
          <w:sz w:val="28"/>
          <w:szCs w:val="28"/>
        </w:rPr>
        <w:t>　0</w:t>
      </w:r>
      <w:r>
        <w:rPr>
          <w:rFonts w:hint="eastAsia" w:asciiTheme="majorEastAsia" w:hAnsiTheme="majorEastAsia" w:eastAsiaTheme="majorEastAsia" w:cstheme="majorEastAsia"/>
          <w:sz w:val="28"/>
          <w:szCs w:val="28"/>
        </w:rPr>
        <w:t>万元，完成年初预算的</w:t>
      </w:r>
      <w:r>
        <w:rPr>
          <w:rFonts w:hint="eastAsia"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color w:val="000000"/>
          <w:sz w:val="28"/>
          <w:szCs w:val="28"/>
        </w:rPr>
        <w:t>，比上年增加</w:t>
      </w:r>
      <w:r>
        <w:rPr>
          <w:rFonts w:hint="eastAsia"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color w:val="000000"/>
          <w:sz w:val="28"/>
          <w:szCs w:val="28"/>
        </w:rPr>
        <w:t>万元，增长</w:t>
      </w:r>
      <w:r>
        <w:rPr>
          <w:rFonts w:hint="eastAsia"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color w:val="000000"/>
          <w:sz w:val="28"/>
          <w:szCs w:val="28"/>
        </w:rPr>
        <w:t>%（具体：其中公务用车购置费年</w:t>
      </w:r>
      <w:r>
        <w:rPr>
          <w:rFonts w:hint="eastAsia" w:asciiTheme="majorEastAsia" w:hAnsiTheme="majorEastAsia" w:eastAsiaTheme="majorEastAsia" w:cstheme="majorEastAsia"/>
          <w:sz w:val="28"/>
          <w:szCs w:val="28"/>
        </w:rPr>
        <w:t>初预算</w:t>
      </w:r>
      <w:r>
        <w:rPr>
          <w:rFonts w:hint="eastAsia"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sz w:val="28"/>
          <w:szCs w:val="28"/>
        </w:rPr>
        <w:t>万元，支出决算</w:t>
      </w:r>
      <w:r>
        <w:rPr>
          <w:rFonts w:hint="eastAsia" w:asciiTheme="majorEastAsia" w:hAnsiTheme="majorEastAsia" w:eastAsiaTheme="majorEastAsia" w:cstheme="majorEastAsia"/>
          <w:color w:val="000000"/>
          <w:sz w:val="28"/>
          <w:szCs w:val="28"/>
        </w:rPr>
        <w:t>　0</w:t>
      </w:r>
      <w:r>
        <w:rPr>
          <w:rFonts w:hint="eastAsia" w:asciiTheme="majorEastAsia" w:hAnsiTheme="majorEastAsia" w:eastAsiaTheme="majorEastAsia" w:cstheme="majorEastAsia"/>
          <w:sz w:val="28"/>
          <w:szCs w:val="28"/>
        </w:rPr>
        <w:t>万元，完成年初预算的</w:t>
      </w:r>
      <w:r>
        <w:rPr>
          <w:rFonts w:hint="eastAsia"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color w:val="000000"/>
          <w:sz w:val="28"/>
          <w:szCs w:val="28"/>
        </w:rPr>
        <w:t>，比上年增加</w:t>
      </w:r>
      <w:r>
        <w:rPr>
          <w:rFonts w:hint="eastAsia"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color w:val="000000"/>
          <w:sz w:val="28"/>
          <w:szCs w:val="28"/>
        </w:rPr>
        <w:t>万元，增长</w:t>
      </w:r>
      <w:r>
        <w:rPr>
          <w:rFonts w:hint="eastAsia"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color w:val="000000"/>
          <w:sz w:val="28"/>
          <w:szCs w:val="28"/>
        </w:rPr>
        <w:t>%，原因是无；公务用车运行维护费年</w:t>
      </w:r>
      <w:r>
        <w:rPr>
          <w:rFonts w:hint="eastAsia" w:asciiTheme="majorEastAsia" w:hAnsiTheme="majorEastAsia" w:eastAsiaTheme="majorEastAsia" w:cstheme="majorEastAsia"/>
          <w:sz w:val="28"/>
          <w:szCs w:val="28"/>
        </w:rPr>
        <w:t>初预算</w:t>
      </w:r>
      <w:r>
        <w:rPr>
          <w:rFonts w:hint="eastAsia" w:asciiTheme="majorEastAsia" w:hAnsiTheme="majorEastAsia" w:eastAsiaTheme="majorEastAsia" w:cstheme="majorEastAsia"/>
          <w:color w:val="000000"/>
          <w:sz w:val="28"/>
          <w:szCs w:val="28"/>
        </w:rPr>
        <w:t>　0</w:t>
      </w:r>
      <w:r>
        <w:rPr>
          <w:rFonts w:hint="eastAsia" w:asciiTheme="majorEastAsia" w:hAnsiTheme="majorEastAsia" w:eastAsiaTheme="majorEastAsia" w:cstheme="majorEastAsia"/>
          <w:sz w:val="28"/>
          <w:szCs w:val="28"/>
        </w:rPr>
        <w:t>万元，支出决算</w:t>
      </w:r>
      <w:r>
        <w:rPr>
          <w:rFonts w:hint="eastAsia" w:asciiTheme="majorEastAsia" w:hAnsiTheme="majorEastAsia" w:eastAsiaTheme="majorEastAsia" w:cstheme="majorEastAsia"/>
          <w:color w:val="000000"/>
          <w:sz w:val="28"/>
          <w:szCs w:val="28"/>
        </w:rPr>
        <w:t>　0</w:t>
      </w:r>
      <w:r>
        <w:rPr>
          <w:rFonts w:hint="eastAsia" w:asciiTheme="majorEastAsia" w:hAnsiTheme="majorEastAsia" w:eastAsiaTheme="majorEastAsia" w:cstheme="majorEastAsia"/>
          <w:sz w:val="28"/>
          <w:szCs w:val="28"/>
        </w:rPr>
        <w:t>万元，完成年初预算的</w:t>
      </w:r>
      <w:r>
        <w:rPr>
          <w:rFonts w:hint="eastAsia"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color w:val="000000"/>
          <w:sz w:val="28"/>
          <w:szCs w:val="28"/>
        </w:rPr>
        <w:t>，比上年增加</w:t>
      </w:r>
      <w:r>
        <w:rPr>
          <w:rFonts w:hint="eastAsia"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color w:val="000000"/>
          <w:sz w:val="28"/>
          <w:szCs w:val="28"/>
        </w:rPr>
        <w:t>万元，增长</w:t>
      </w:r>
      <w:r>
        <w:rPr>
          <w:rFonts w:hint="eastAsia"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color w:val="000000"/>
          <w:sz w:val="28"/>
          <w:szCs w:val="28"/>
        </w:rPr>
        <w:t>%，原因是无）；公务接待费年</w:t>
      </w:r>
      <w:r>
        <w:rPr>
          <w:rFonts w:hint="eastAsia" w:asciiTheme="majorEastAsia" w:hAnsiTheme="majorEastAsia" w:eastAsiaTheme="majorEastAsia" w:cstheme="majorEastAsia"/>
          <w:sz w:val="28"/>
          <w:szCs w:val="28"/>
        </w:rPr>
        <w:t>初预算</w:t>
      </w:r>
      <w:r>
        <w:rPr>
          <w:rFonts w:hint="eastAsia" w:asciiTheme="majorEastAsia" w:hAnsiTheme="majorEastAsia" w:eastAsiaTheme="majorEastAsia" w:cstheme="majorEastAsia"/>
          <w:color w:val="000000"/>
          <w:sz w:val="28"/>
          <w:szCs w:val="28"/>
        </w:rPr>
        <w:t>0.01</w:t>
      </w:r>
      <w:r>
        <w:rPr>
          <w:rFonts w:hint="eastAsia" w:asciiTheme="majorEastAsia" w:hAnsiTheme="majorEastAsia" w:eastAsiaTheme="majorEastAsia" w:cstheme="majorEastAsia"/>
          <w:sz w:val="28"/>
          <w:szCs w:val="28"/>
        </w:rPr>
        <w:t>万元，支出决算</w:t>
      </w:r>
      <w:r>
        <w:rPr>
          <w:rFonts w:hint="eastAsia" w:asciiTheme="majorEastAsia" w:hAnsiTheme="majorEastAsia" w:eastAsiaTheme="majorEastAsia" w:cstheme="majorEastAsia"/>
          <w:color w:val="000000"/>
          <w:sz w:val="28"/>
          <w:szCs w:val="28"/>
        </w:rPr>
        <w:t>0.04</w:t>
      </w:r>
      <w:r>
        <w:rPr>
          <w:rFonts w:hint="eastAsia" w:asciiTheme="majorEastAsia" w:hAnsiTheme="majorEastAsia" w:eastAsiaTheme="majorEastAsia" w:cstheme="majorEastAsia"/>
          <w:sz w:val="28"/>
          <w:szCs w:val="28"/>
        </w:rPr>
        <w:t>万元，完成年初预算的</w:t>
      </w:r>
      <w:r>
        <w:rPr>
          <w:rFonts w:hint="eastAsia" w:asciiTheme="majorEastAsia" w:hAnsiTheme="majorEastAsia" w:eastAsiaTheme="majorEastAsia" w:cstheme="majorEastAsia"/>
          <w:color w:val="000000"/>
          <w:sz w:val="28"/>
          <w:szCs w:val="28"/>
        </w:rPr>
        <w:t>400</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color w:val="000000"/>
          <w:sz w:val="28"/>
          <w:szCs w:val="28"/>
        </w:rPr>
        <w:t>，比上年增加</w:t>
      </w:r>
      <w:r>
        <w:rPr>
          <w:rFonts w:hint="eastAsia" w:asciiTheme="majorEastAsia" w:hAnsiTheme="majorEastAsia" w:eastAsiaTheme="majorEastAsia" w:cstheme="majorEastAsia"/>
          <w:color w:val="000000"/>
          <w:sz w:val="28"/>
          <w:szCs w:val="28"/>
        </w:rPr>
        <w:t>-0.16</w:t>
      </w:r>
      <w:r>
        <w:rPr>
          <w:rFonts w:hint="eastAsia" w:asciiTheme="majorEastAsia" w:hAnsiTheme="majorEastAsia" w:eastAsiaTheme="majorEastAsia" w:cstheme="majorEastAsia"/>
          <w:color w:val="000000"/>
          <w:sz w:val="28"/>
          <w:szCs w:val="28"/>
        </w:rPr>
        <w:t>万元，增长</w:t>
      </w:r>
      <w:r>
        <w:rPr>
          <w:rFonts w:hint="eastAsia" w:asciiTheme="majorEastAsia" w:hAnsiTheme="majorEastAsia" w:eastAsiaTheme="majorEastAsia" w:cstheme="majorEastAsia"/>
          <w:color w:val="000000"/>
          <w:sz w:val="28"/>
          <w:szCs w:val="28"/>
        </w:rPr>
        <w:t>-80</w:t>
      </w:r>
      <w:r>
        <w:rPr>
          <w:rFonts w:hint="eastAsia" w:asciiTheme="majorEastAsia" w:hAnsiTheme="majorEastAsia" w:eastAsiaTheme="majorEastAsia" w:cstheme="majorEastAsia"/>
          <w:color w:val="000000"/>
          <w:sz w:val="28"/>
          <w:szCs w:val="28"/>
        </w:rPr>
        <w:t>%，原因是根据实际情况进行接待（全年</w:t>
      </w:r>
      <w:r>
        <w:rPr>
          <w:rFonts w:hint="eastAsia" w:asciiTheme="majorEastAsia" w:hAnsiTheme="majorEastAsia" w:eastAsiaTheme="majorEastAsia" w:cstheme="majorEastAsia"/>
          <w:color w:val="000000"/>
          <w:sz w:val="28"/>
          <w:szCs w:val="28"/>
        </w:rPr>
        <w:t>年使用一般公共预算拨款开支的国内公务接待</w:t>
      </w:r>
      <w:r>
        <w:rPr>
          <w:rFonts w:hint="eastAsia" w:asciiTheme="majorEastAsia" w:hAnsiTheme="majorEastAsia" w:eastAsiaTheme="majorEastAsia" w:cstheme="majorEastAsia"/>
          <w:color w:val="000000"/>
          <w:sz w:val="28"/>
          <w:szCs w:val="28"/>
        </w:rPr>
        <w:t>1</w:t>
      </w:r>
      <w:r>
        <w:rPr>
          <w:rFonts w:hint="eastAsia" w:asciiTheme="majorEastAsia" w:hAnsiTheme="majorEastAsia" w:eastAsiaTheme="majorEastAsia" w:cstheme="majorEastAsia"/>
          <w:color w:val="000000"/>
          <w:sz w:val="28"/>
          <w:szCs w:val="28"/>
        </w:rPr>
        <w:t>批次，</w:t>
      </w:r>
      <w:r>
        <w:rPr>
          <w:rFonts w:hint="eastAsia" w:asciiTheme="majorEastAsia" w:hAnsiTheme="majorEastAsia" w:eastAsiaTheme="majorEastAsia" w:cstheme="majorEastAsia"/>
          <w:color w:val="000000"/>
          <w:sz w:val="28"/>
          <w:szCs w:val="28"/>
        </w:rPr>
        <w:t>7</w:t>
      </w:r>
      <w:r>
        <w:rPr>
          <w:rFonts w:hint="eastAsia" w:asciiTheme="majorEastAsia" w:hAnsiTheme="majorEastAsia" w:eastAsiaTheme="majorEastAsia" w:cstheme="majorEastAsia"/>
          <w:color w:val="000000"/>
          <w:sz w:val="28"/>
          <w:szCs w:val="28"/>
        </w:rPr>
        <w:t>人次</w:t>
      </w:r>
      <w:r>
        <w:rPr>
          <w:rFonts w:hint="eastAsia" w:asciiTheme="majorEastAsia" w:hAnsiTheme="majorEastAsia" w:eastAsiaTheme="majorEastAsia" w:cstheme="majorEastAsia"/>
          <w:color w:val="000000"/>
          <w:sz w:val="28"/>
          <w:szCs w:val="28"/>
        </w:rPr>
        <w:t>。）</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八、其他重要事项情况说明</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（一）机关运行经费支出情况说明</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2021年机关运行经费支出5.97万元（与部门决算中行政单位和参照公务员法管理的事业单位一般公共预算财政拨款基本支出中公用经费之和保持一致），比上年增加-6.78万元，增长-53.17%。主要原因是：减少开支厉行节约（具体增减原因由部门根据实际情况填列）。机关运行经费支出口径应在专业名词解释中子以说明。无机关运行经费的部门，须说明本部门无机关运行经费。</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（二）政府采购情况说明</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2021年度政府采购支出总额0万元，其中：政府采购货物支出0万元、政府采购工程支出0万元、政府采购服务支出0万元。政府采购授予中小企业合同金额0万元，占政府采购支出总额的0%。其中：授予小微企业合同金额0万元，占政府采购支出总额的0%.</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（三）国有资产占用情况说明</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（1）房屋情况</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截至2021年12月31日，本部门共有房屋139平方米，为占用机关后勤中心房屋，其中办公用房139平方米，为占用机关后勤中心房屋，业务用房0平方米，价值为0万元；其他（不含构筑物）0平方米，价值为0万元。</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（2）车辆及设备情况</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截至2021年12月31日，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专用设备0台（套）。</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（四）预算绩效情况说明</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（1）预算绩效管理工作开展情况。</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根据预算绩效管理要求，我部门组织对2021年度县级财政预算安排的专项资金类0个项目支出全面开展绩效自评，涉及预算资金0万元，占一般公共预算项目支出总额的0%。组织对2021年度0个政府性基金预算项目支出开展绩效自评，共涉及预算资金0万元，占政府性基金预算项目支出总额的0%。</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组织对0个项目开展了部门评价，涉及一般公共预算支出0万元，政府性基金预算支出0万元。其中，对0个项目分别委托0个第三方机构开展绩效评价。从评价情况来看， 本单位无。</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组织对0个单位开展整体绩效评价试点，涉及一般公共预算支出0万元，政府性基金预算支出0万元。其中，对0个单位整体绩效评价分别委托0个第三方机构实施。从评价情况来看， 本单位无</w:t>
      </w:r>
      <w:r>
        <w:rPr>
          <w:rFonts w:hint="eastAsia" w:asciiTheme="majorEastAsia" w:hAnsiTheme="majorEastAsia" w:eastAsiaTheme="majorEastAsia" w:cstheme="majorEastAsia"/>
          <w:sz w:val="28"/>
          <w:szCs w:val="28"/>
          <w:lang w:eastAsia="zh-CN"/>
        </w:rPr>
        <w:t>。</w:t>
      </w:r>
    </w:p>
    <w:p>
      <w:pPr>
        <w:numPr>
          <w:ilvl w:val="0"/>
          <w:numId w:val="1"/>
        </w:numPr>
        <w:spacing w:after="0" w:line="500" w:lineRule="exact"/>
        <w:ind w:firstLine="562" w:firstLineChars="200"/>
        <w:jc w:val="both"/>
        <w:rPr>
          <w:rFonts w:ascii="宋体" w:hAnsi="宋体" w:eastAsia="宋体" w:cs="宋体"/>
          <w:b/>
          <w:sz w:val="28"/>
          <w:szCs w:val="28"/>
        </w:rPr>
      </w:pPr>
      <w:r>
        <w:rPr>
          <w:rFonts w:hint="eastAsia" w:ascii="宋体" w:hAnsi="宋体" w:eastAsia="宋体" w:cs="宋体"/>
          <w:b/>
          <w:sz w:val="28"/>
          <w:szCs w:val="28"/>
        </w:rPr>
        <w:t>部门决算中项目绩效自评结果。</w:t>
      </w:r>
    </w:p>
    <w:p>
      <w:pPr>
        <w:spacing w:after="0" w:line="50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本单位本年度部门决算中没有项目绩效自评结果。</w:t>
      </w:r>
    </w:p>
    <w:p>
      <w:pPr>
        <w:numPr>
          <w:ilvl w:val="0"/>
          <w:numId w:val="1"/>
        </w:numPr>
        <w:spacing w:after="0" w:line="500" w:lineRule="exact"/>
        <w:ind w:firstLine="562" w:firstLineChars="200"/>
        <w:jc w:val="both"/>
        <w:rPr>
          <w:rFonts w:ascii="宋体" w:hAnsi="宋体" w:eastAsia="宋体" w:cs="宋体"/>
          <w:b/>
          <w:sz w:val="28"/>
          <w:szCs w:val="28"/>
        </w:rPr>
      </w:pPr>
      <w:r>
        <w:rPr>
          <w:rFonts w:hint="eastAsia" w:ascii="宋体" w:hAnsi="宋体" w:eastAsia="宋体" w:cs="宋体"/>
          <w:b/>
          <w:sz w:val="28"/>
          <w:szCs w:val="28"/>
        </w:rPr>
        <w:t>部门评价项目绩效评价结果。</w:t>
      </w:r>
    </w:p>
    <w:p>
      <w:pPr>
        <w:spacing w:after="0" w:line="50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本单位本年度没有部门评价项目绩效自评结果。</w:t>
      </w:r>
    </w:p>
    <w:p>
      <w:pPr>
        <w:keepNext w:val="0"/>
        <w:keepLines w:val="0"/>
        <w:pageBreakBefore w:val="0"/>
        <w:widowControl/>
        <w:kinsoku/>
        <w:wordWrap/>
        <w:overflowPunct/>
        <w:topLinePunct w:val="0"/>
        <w:bidi w:val="0"/>
        <w:adjustRightInd w:val="0"/>
        <w:snapToGrid w:val="0"/>
        <w:spacing w:after="0" w:line="500" w:lineRule="exact"/>
        <w:ind w:firstLine="422" w:firstLineChars="15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（五）其他需要说明的事项</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1、培训费：</w:t>
      </w:r>
      <w:r>
        <w:rPr>
          <w:rFonts w:hint="eastAsia" w:asciiTheme="majorEastAsia" w:hAnsiTheme="majorEastAsia" w:eastAsiaTheme="majorEastAsia" w:cstheme="majorEastAsia"/>
          <w:sz w:val="28"/>
          <w:szCs w:val="28"/>
        </w:rPr>
        <w:t>全</w:t>
      </w:r>
      <w:r>
        <w:rPr>
          <w:rFonts w:hint="eastAsia" w:asciiTheme="majorEastAsia" w:hAnsiTheme="majorEastAsia" w:eastAsiaTheme="majorEastAsia" w:cstheme="majorEastAsia"/>
          <w:sz w:val="28"/>
          <w:szCs w:val="28"/>
        </w:rPr>
        <w:t>年一般公共预算拨款安排的培训费决算</w:t>
      </w:r>
      <w:r>
        <w:rPr>
          <w:rFonts w:hint="eastAsia" w:asciiTheme="majorEastAsia" w:hAnsiTheme="majorEastAsia" w:eastAsiaTheme="majorEastAsia" w:cstheme="majorEastAsia"/>
          <w:sz w:val="28"/>
          <w:szCs w:val="28"/>
        </w:rPr>
        <w:t>年初预算0万元，支出决算0万元，完成年初预算的0%，比上年增加-0.41万元，增长-100%，原因是根据工作实际安排</w:t>
      </w:r>
      <w:r>
        <w:rPr>
          <w:rFonts w:hint="eastAsia" w:asciiTheme="majorEastAsia" w:hAnsiTheme="majorEastAsia" w:eastAsiaTheme="majorEastAsia" w:cstheme="majorEastAsia"/>
          <w:sz w:val="28"/>
          <w:szCs w:val="28"/>
        </w:rPr>
        <w:t>。20</w:t>
      </w:r>
      <w:r>
        <w:rPr>
          <w:rFonts w:hint="eastAsia" w:asciiTheme="majorEastAsia" w:hAnsiTheme="majorEastAsia" w:eastAsiaTheme="majorEastAsia" w:cstheme="majorEastAsia"/>
          <w:sz w:val="28"/>
          <w:szCs w:val="28"/>
        </w:rPr>
        <w:t>21</w:t>
      </w:r>
      <w:r>
        <w:rPr>
          <w:rFonts w:hint="eastAsia" w:asciiTheme="majorEastAsia" w:hAnsiTheme="majorEastAsia" w:eastAsiaTheme="majorEastAsia" w:cstheme="majorEastAsia"/>
          <w:sz w:val="28"/>
          <w:szCs w:val="28"/>
        </w:rPr>
        <w:t>年度全年组织培训</w:t>
      </w:r>
      <w:r>
        <w:rPr>
          <w:rFonts w:hint="eastAsia" w:asciiTheme="majorEastAsia" w:hAnsiTheme="majorEastAsia" w:eastAsiaTheme="majorEastAsia" w:cstheme="majorEastAsia"/>
          <w:sz w:val="28"/>
          <w:szCs w:val="28"/>
        </w:rPr>
        <w:t>0</w:t>
      </w:r>
      <w:r>
        <w:rPr>
          <w:rFonts w:hint="eastAsia" w:asciiTheme="majorEastAsia" w:hAnsiTheme="majorEastAsia" w:eastAsiaTheme="majorEastAsia" w:cstheme="majorEastAsia"/>
          <w:sz w:val="28"/>
          <w:szCs w:val="28"/>
        </w:rPr>
        <w:t>个，组织培训</w:t>
      </w:r>
      <w:r>
        <w:rPr>
          <w:rFonts w:hint="eastAsia" w:asciiTheme="majorEastAsia" w:hAnsiTheme="majorEastAsia" w:eastAsiaTheme="majorEastAsia" w:cstheme="majorEastAsia"/>
          <w:sz w:val="28"/>
          <w:szCs w:val="28"/>
        </w:rPr>
        <w:t>0</w:t>
      </w:r>
      <w:r>
        <w:rPr>
          <w:rFonts w:hint="eastAsia" w:asciiTheme="majorEastAsia" w:hAnsiTheme="majorEastAsia" w:eastAsiaTheme="majorEastAsia" w:cstheme="majorEastAsia"/>
          <w:sz w:val="28"/>
          <w:szCs w:val="28"/>
        </w:rPr>
        <w:t>人次。主要为培训</w:t>
      </w:r>
      <w:r>
        <w:rPr>
          <w:rFonts w:hint="eastAsia" w:asciiTheme="majorEastAsia" w:hAnsiTheme="majorEastAsia" w:eastAsiaTheme="majorEastAsia" w:cstheme="majorEastAsia"/>
          <w:sz w:val="28"/>
          <w:szCs w:val="28"/>
        </w:rPr>
        <w:t>无</w:t>
      </w:r>
      <w:r>
        <w:rPr>
          <w:rFonts w:hint="eastAsia" w:asciiTheme="majorEastAsia" w:hAnsiTheme="majorEastAsia" w:eastAsiaTheme="majorEastAsia" w:cstheme="majorEastAsia"/>
          <w:sz w:val="28"/>
          <w:szCs w:val="28"/>
        </w:rPr>
        <w:t>。</w:t>
      </w:r>
    </w:p>
    <w:tbl>
      <w:tblPr>
        <w:tblStyle w:val="5"/>
        <w:tblW w:w="8664" w:type="dxa"/>
        <w:tblInd w:w="91" w:type="dxa"/>
        <w:tblLayout w:type="fixed"/>
        <w:tblCellMar>
          <w:top w:w="0" w:type="dxa"/>
          <w:left w:w="108" w:type="dxa"/>
          <w:bottom w:w="0" w:type="dxa"/>
          <w:right w:w="108" w:type="dxa"/>
        </w:tblCellMar>
      </w:tblPr>
      <w:tblGrid>
        <w:gridCol w:w="863"/>
        <w:gridCol w:w="1725"/>
        <w:gridCol w:w="930"/>
        <w:gridCol w:w="945"/>
        <w:gridCol w:w="1530"/>
        <w:gridCol w:w="1260"/>
        <w:gridCol w:w="1411"/>
      </w:tblGrid>
      <w:tr>
        <w:tblPrEx>
          <w:tblCellMar>
            <w:top w:w="0" w:type="dxa"/>
            <w:left w:w="108" w:type="dxa"/>
            <w:bottom w:w="0" w:type="dxa"/>
            <w:right w:w="108" w:type="dxa"/>
          </w:tblCellMar>
        </w:tblPrEx>
        <w:trPr>
          <w:trHeight w:val="510" w:hRule="atLeast"/>
        </w:trPr>
        <w:tc>
          <w:tcPr>
            <w:tcW w:w="86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培训费</w:t>
            </w:r>
          </w:p>
        </w:tc>
        <w:tc>
          <w:tcPr>
            <w:tcW w:w="17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预算数（万元）</w:t>
            </w:r>
          </w:p>
        </w:tc>
        <w:tc>
          <w:tcPr>
            <w:tcW w:w="187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决算数（万元）</w:t>
            </w:r>
          </w:p>
        </w:tc>
        <w:tc>
          <w:tcPr>
            <w:tcW w:w="153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比上年增加（万元）</w:t>
            </w:r>
          </w:p>
        </w:tc>
        <w:tc>
          <w:tcPr>
            <w:tcW w:w="1260"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完成年初预算比例%</w:t>
            </w:r>
          </w:p>
        </w:tc>
        <w:tc>
          <w:tcPr>
            <w:tcW w:w="14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比上年增加比例%</w:t>
            </w:r>
          </w:p>
        </w:tc>
      </w:tr>
      <w:tr>
        <w:tblPrEx>
          <w:tblCellMar>
            <w:top w:w="0" w:type="dxa"/>
            <w:left w:w="108" w:type="dxa"/>
            <w:bottom w:w="0" w:type="dxa"/>
            <w:right w:w="108" w:type="dxa"/>
          </w:tblCellMar>
        </w:tblPrEx>
        <w:trPr>
          <w:trHeight w:val="292" w:hRule="atLeast"/>
        </w:trPr>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2021</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2021</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2020</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2021-2020</w:t>
            </w:r>
          </w:p>
        </w:tc>
        <w:tc>
          <w:tcPr>
            <w:tcW w:w="12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p>
        </w:tc>
        <w:tc>
          <w:tcPr>
            <w:tcW w:w="14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p>
        </w:tc>
      </w:tr>
      <w:tr>
        <w:tblPrEx>
          <w:tblCellMar>
            <w:top w:w="0" w:type="dxa"/>
            <w:left w:w="108" w:type="dxa"/>
            <w:bottom w:w="0" w:type="dxa"/>
            <w:right w:w="108" w:type="dxa"/>
          </w:tblCellMar>
        </w:tblPrEx>
        <w:trPr>
          <w:trHeight w:val="540" w:hRule="atLeast"/>
        </w:trPr>
        <w:tc>
          <w:tcPr>
            <w:tcW w:w="86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合计</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0.41</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-0.41</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-100</w:t>
            </w:r>
          </w:p>
        </w:tc>
      </w:tr>
    </w:tbl>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2、会议费：</w:t>
      </w:r>
      <w:r>
        <w:rPr>
          <w:rFonts w:hint="eastAsia" w:asciiTheme="majorEastAsia" w:hAnsiTheme="majorEastAsia" w:eastAsiaTheme="majorEastAsia" w:cstheme="majorEastAsia"/>
          <w:sz w:val="28"/>
          <w:szCs w:val="28"/>
        </w:rPr>
        <w:t>全年</w:t>
      </w:r>
      <w:r>
        <w:rPr>
          <w:rFonts w:hint="eastAsia" w:asciiTheme="majorEastAsia" w:hAnsiTheme="majorEastAsia" w:eastAsiaTheme="majorEastAsia" w:cstheme="majorEastAsia"/>
          <w:sz w:val="28"/>
          <w:szCs w:val="28"/>
        </w:rPr>
        <w:t>一般公共预算拨款安排的会议费</w:t>
      </w:r>
      <w:r>
        <w:rPr>
          <w:rFonts w:hint="eastAsia" w:asciiTheme="majorEastAsia" w:hAnsiTheme="majorEastAsia" w:eastAsiaTheme="majorEastAsia" w:cstheme="majorEastAsia"/>
          <w:color w:val="000000"/>
          <w:sz w:val="28"/>
          <w:szCs w:val="28"/>
        </w:rPr>
        <w:t>年</w:t>
      </w:r>
      <w:r>
        <w:rPr>
          <w:rFonts w:hint="eastAsia" w:asciiTheme="majorEastAsia" w:hAnsiTheme="majorEastAsia" w:eastAsiaTheme="majorEastAsia" w:cstheme="majorEastAsia"/>
          <w:sz w:val="28"/>
          <w:szCs w:val="28"/>
        </w:rPr>
        <w:t>初预算0万元，支出决算</w:t>
      </w:r>
      <w:r>
        <w:rPr>
          <w:rFonts w:hint="eastAsia"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sz w:val="28"/>
          <w:szCs w:val="28"/>
        </w:rPr>
        <w:t>万元，完成年初预算的0%</w:t>
      </w:r>
      <w:r>
        <w:rPr>
          <w:rFonts w:hint="eastAsia"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sz w:val="28"/>
          <w:szCs w:val="28"/>
        </w:rPr>
        <w:t>比上年增加0万元，增长0%，原因是无</w:t>
      </w:r>
      <w:r>
        <w:rPr>
          <w:rFonts w:hint="eastAsia" w:asciiTheme="majorEastAsia" w:hAnsiTheme="majorEastAsia" w:eastAsiaTheme="majorEastAsia" w:cstheme="majorEastAsia"/>
          <w:sz w:val="28"/>
          <w:szCs w:val="28"/>
        </w:rPr>
        <w:t>。20</w:t>
      </w:r>
      <w:r>
        <w:rPr>
          <w:rFonts w:hint="eastAsia" w:asciiTheme="majorEastAsia" w:hAnsiTheme="majorEastAsia" w:eastAsiaTheme="majorEastAsia" w:cstheme="majorEastAsia"/>
          <w:sz w:val="28"/>
          <w:szCs w:val="28"/>
        </w:rPr>
        <w:t>21</w:t>
      </w:r>
      <w:r>
        <w:rPr>
          <w:rFonts w:hint="eastAsia" w:asciiTheme="majorEastAsia" w:hAnsiTheme="majorEastAsia" w:eastAsiaTheme="majorEastAsia" w:cstheme="majorEastAsia"/>
          <w:sz w:val="28"/>
          <w:szCs w:val="28"/>
        </w:rPr>
        <w:t>年度全年召开会议</w:t>
      </w:r>
      <w:r>
        <w:rPr>
          <w:rFonts w:hint="eastAsia" w:asciiTheme="majorEastAsia" w:hAnsiTheme="majorEastAsia" w:eastAsiaTheme="majorEastAsia" w:cstheme="majorEastAsia"/>
          <w:sz w:val="28"/>
          <w:szCs w:val="28"/>
        </w:rPr>
        <w:t>0</w:t>
      </w:r>
      <w:r>
        <w:rPr>
          <w:rFonts w:hint="eastAsia" w:asciiTheme="majorEastAsia" w:hAnsiTheme="majorEastAsia" w:eastAsiaTheme="majorEastAsia" w:cstheme="majorEastAsia"/>
          <w:sz w:val="28"/>
          <w:szCs w:val="28"/>
        </w:rPr>
        <w:t>个，参加会议</w:t>
      </w:r>
      <w:r>
        <w:rPr>
          <w:rFonts w:hint="eastAsia" w:asciiTheme="majorEastAsia" w:hAnsiTheme="majorEastAsia" w:eastAsiaTheme="majorEastAsia" w:cstheme="majorEastAsia"/>
          <w:sz w:val="28"/>
          <w:szCs w:val="28"/>
        </w:rPr>
        <w:t>0</w:t>
      </w:r>
      <w:r>
        <w:rPr>
          <w:rFonts w:hint="eastAsia" w:asciiTheme="majorEastAsia" w:hAnsiTheme="majorEastAsia" w:eastAsiaTheme="majorEastAsia" w:cstheme="majorEastAsia"/>
          <w:sz w:val="28"/>
          <w:szCs w:val="28"/>
        </w:rPr>
        <w:t>人次。主要为召开</w:t>
      </w:r>
      <w:r>
        <w:rPr>
          <w:rFonts w:hint="eastAsia" w:asciiTheme="majorEastAsia" w:hAnsiTheme="majorEastAsia" w:eastAsiaTheme="majorEastAsia" w:cstheme="majorEastAsia"/>
          <w:sz w:val="28"/>
          <w:szCs w:val="28"/>
        </w:rPr>
        <w:t>无</w:t>
      </w:r>
      <w:r>
        <w:rPr>
          <w:rFonts w:hint="eastAsia" w:asciiTheme="majorEastAsia" w:hAnsiTheme="majorEastAsia" w:eastAsiaTheme="majorEastAsia" w:cstheme="majorEastAsia"/>
          <w:sz w:val="28"/>
          <w:szCs w:val="28"/>
        </w:rPr>
        <w:t>。</w:t>
      </w:r>
    </w:p>
    <w:tbl>
      <w:tblPr>
        <w:tblStyle w:val="5"/>
        <w:tblW w:w="8664" w:type="dxa"/>
        <w:tblInd w:w="91" w:type="dxa"/>
        <w:tblLayout w:type="fixed"/>
        <w:tblCellMar>
          <w:top w:w="0" w:type="dxa"/>
          <w:left w:w="108" w:type="dxa"/>
          <w:bottom w:w="0" w:type="dxa"/>
          <w:right w:w="108" w:type="dxa"/>
        </w:tblCellMar>
      </w:tblPr>
      <w:tblGrid>
        <w:gridCol w:w="923"/>
        <w:gridCol w:w="1710"/>
        <w:gridCol w:w="855"/>
        <w:gridCol w:w="960"/>
        <w:gridCol w:w="1545"/>
        <w:gridCol w:w="1290"/>
        <w:gridCol w:w="1381"/>
      </w:tblGrid>
      <w:tr>
        <w:tblPrEx>
          <w:tblCellMar>
            <w:top w:w="0" w:type="dxa"/>
            <w:left w:w="108" w:type="dxa"/>
            <w:bottom w:w="0" w:type="dxa"/>
            <w:right w:w="108" w:type="dxa"/>
          </w:tblCellMar>
        </w:tblPrEx>
        <w:trPr>
          <w:trHeight w:val="510" w:hRule="atLeast"/>
        </w:trPr>
        <w:tc>
          <w:tcPr>
            <w:tcW w:w="92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会议费</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预算数（万元）</w:t>
            </w:r>
          </w:p>
        </w:tc>
        <w:tc>
          <w:tcPr>
            <w:tcW w:w="181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决算数（万元）</w:t>
            </w:r>
          </w:p>
        </w:tc>
        <w:tc>
          <w:tcPr>
            <w:tcW w:w="154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比上年增加（万元）</w:t>
            </w:r>
          </w:p>
        </w:tc>
        <w:tc>
          <w:tcPr>
            <w:tcW w:w="1290"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完成年初预算比例%</w:t>
            </w:r>
          </w:p>
        </w:tc>
        <w:tc>
          <w:tcPr>
            <w:tcW w:w="13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比上年增加比例%</w:t>
            </w:r>
          </w:p>
        </w:tc>
      </w:tr>
      <w:tr>
        <w:tblPrEx>
          <w:tblCellMar>
            <w:top w:w="0" w:type="dxa"/>
            <w:left w:w="108" w:type="dxa"/>
            <w:bottom w:w="0" w:type="dxa"/>
            <w:right w:w="108" w:type="dxa"/>
          </w:tblCellMar>
        </w:tblPrEx>
        <w:trPr>
          <w:trHeight w:val="292" w:hRule="atLeast"/>
        </w:trPr>
        <w:tc>
          <w:tcPr>
            <w:tcW w:w="9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p>
        </w:tc>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2021</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2021</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2020</w:t>
            </w:r>
          </w:p>
        </w:tc>
        <w:tc>
          <w:tcPr>
            <w:tcW w:w="15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2021-2020</w:t>
            </w:r>
          </w:p>
        </w:tc>
        <w:tc>
          <w:tcPr>
            <w:tcW w:w="129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p>
        </w:tc>
        <w:tc>
          <w:tcPr>
            <w:tcW w:w="13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p>
        </w:tc>
      </w:tr>
      <w:tr>
        <w:tblPrEx>
          <w:tblCellMar>
            <w:top w:w="0" w:type="dxa"/>
            <w:left w:w="108" w:type="dxa"/>
            <w:bottom w:w="0" w:type="dxa"/>
            <w:right w:w="108" w:type="dxa"/>
          </w:tblCellMar>
        </w:tblPrEx>
        <w:trPr>
          <w:trHeight w:val="540" w:hRule="atLeast"/>
        </w:trPr>
        <w:tc>
          <w:tcPr>
            <w:tcW w:w="92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合计</w:t>
            </w:r>
          </w:p>
        </w:tc>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8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5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50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r>
    </w:tbl>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3、其他需要说明的事项</w:t>
      </w:r>
    </w:p>
    <w:p>
      <w:pPr>
        <w:keepNext w:val="0"/>
        <w:keepLines w:val="0"/>
        <w:pageBreakBefore w:val="0"/>
        <w:widowControl/>
        <w:kinsoku/>
        <w:wordWrap/>
        <w:overflowPunct/>
        <w:topLinePunct w:val="0"/>
        <w:bidi w:val="0"/>
        <w:adjustRightInd w:val="0"/>
        <w:snapToGrid w:val="0"/>
        <w:spacing w:after="0" w:line="50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我单位无其他需要说明的事项。</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第四部分 名词解释</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一、财政拨款收入：</w:t>
      </w:r>
      <w:r>
        <w:rPr>
          <w:rFonts w:hint="eastAsia" w:asciiTheme="majorEastAsia" w:hAnsiTheme="majorEastAsia" w:eastAsiaTheme="majorEastAsia" w:cstheme="majorEastAsia"/>
          <w:sz w:val="28"/>
          <w:szCs w:val="28"/>
        </w:rPr>
        <w:t>指单位从同级财政部门取得的财政预算资金。</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二、事业收入：</w:t>
      </w:r>
      <w:r>
        <w:rPr>
          <w:rFonts w:hint="eastAsia" w:asciiTheme="majorEastAsia" w:hAnsiTheme="majorEastAsia" w:eastAsiaTheme="majorEastAsia" w:cstheme="majorEastAsia"/>
          <w:sz w:val="28"/>
          <w:szCs w:val="28"/>
        </w:rPr>
        <w:t>指事业单位开展专业业务活动及辅助活动取得的收入。</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三、经营收入：</w:t>
      </w:r>
      <w:r>
        <w:rPr>
          <w:rFonts w:hint="eastAsia" w:asciiTheme="majorEastAsia" w:hAnsiTheme="majorEastAsia" w:eastAsiaTheme="majorEastAsia" w:cstheme="majorEastAsia"/>
          <w:sz w:val="28"/>
          <w:szCs w:val="28"/>
        </w:rPr>
        <w:t>指事业单位在专业业务活动及其辅助活动之外开展非独立核算经营活动取得的收入。</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四、其他收入：</w:t>
      </w:r>
      <w:r>
        <w:rPr>
          <w:rFonts w:hint="eastAsia" w:asciiTheme="majorEastAsia" w:hAnsiTheme="majorEastAsia" w:eastAsiaTheme="majorEastAsia" w:cstheme="majorEastAsia"/>
          <w:sz w:val="28"/>
          <w:szCs w:val="28"/>
        </w:rPr>
        <w:t>指单位取得的除上述收入以外的各项收入。主要是事业单位固定资产出租收入、存款利息收入等。</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五、使用非财政拨款结余：</w:t>
      </w:r>
      <w:r>
        <w:rPr>
          <w:rFonts w:hint="eastAsia" w:asciiTheme="majorEastAsia" w:hAnsiTheme="majorEastAsia" w:eastAsiaTheme="majorEastAsia" w:cstheme="majorEastAsia"/>
          <w:sz w:val="28"/>
          <w:szCs w:val="28"/>
        </w:rPr>
        <w:t>指事业单位使用以前年度积累的非财政拨款结余弥补当年收支差额的金额。</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六、年初结转和结余：</w:t>
      </w:r>
      <w:r>
        <w:rPr>
          <w:rFonts w:hint="eastAsia" w:asciiTheme="majorEastAsia" w:hAnsiTheme="majorEastAsia" w:eastAsiaTheme="majorEastAsia" w:cstheme="majorEastAsia"/>
          <w:sz w:val="28"/>
          <w:szCs w:val="28"/>
        </w:rPr>
        <w:t>指单位以前年度尚未完成、结转到本年仍按原规定用途继续使用的资金，或项目已完成等产生的结余资金。</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七、结余分配：</w:t>
      </w:r>
      <w:r>
        <w:rPr>
          <w:rFonts w:hint="eastAsia" w:asciiTheme="majorEastAsia" w:hAnsiTheme="majorEastAsia" w:eastAsiaTheme="majorEastAsia" w:cstheme="majorEastAsia"/>
          <w:sz w:val="28"/>
          <w:szCs w:val="28"/>
        </w:rPr>
        <w:t>指事业单位按照会计制度规定缴纳的所得税、提取的专用结余以及转入非财政拨款结余的金额等。</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八、年末结转和结余：</w:t>
      </w:r>
      <w:r>
        <w:rPr>
          <w:rFonts w:hint="eastAsia" w:asciiTheme="majorEastAsia" w:hAnsiTheme="majorEastAsia" w:eastAsiaTheme="majorEastAsia" w:cstheme="majorEastAsia"/>
          <w:sz w:val="28"/>
          <w:szCs w:val="28"/>
        </w:rPr>
        <w:t>指单位按有关规定结转到下年或以后年度继续使用的资金，或项目已完成等产生的结余资金。</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九、基本支出：</w:t>
      </w:r>
      <w:r>
        <w:rPr>
          <w:rFonts w:hint="eastAsia" w:asciiTheme="majorEastAsia" w:hAnsiTheme="majorEastAsia" w:eastAsiaTheme="majorEastAsia" w:cstheme="majorEastAsia"/>
          <w:sz w:val="28"/>
          <w:szCs w:val="28"/>
        </w:rPr>
        <w:t>指为保障机构正常运转、完成日常工作任务而发生的人员支出和公用支出。</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十、项目支出：</w:t>
      </w:r>
      <w:r>
        <w:rPr>
          <w:rFonts w:hint="eastAsia" w:asciiTheme="majorEastAsia" w:hAnsiTheme="majorEastAsia" w:eastAsiaTheme="majorEastAsia" w:cstheme="majorEastAsia"/>
          <w:sz w:val="28"/>
          <w:szCs w:val="28"/>
        </w:rPr>
        <w:t>指在基本支出之外为完成特定行政任务和事业发展目标所发生的支出。</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十一、“三公”经费：</w:t>
      </w:r>
      <w:r>
        <w:rPr>
          <w:rFonts w:hint="eastAsia" w:asciiTheme="majorEastAsia" w:hAnsiTheme="majorEastAsia" w:eastAsiaTheme="majorEastAsia" w:cstheme="major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十二、机关运行经费：</w:t>
      </w:r>
      <w:r>
        <w:rPr>
          <w:rFonts w:hint="eastAsia" w:asciiTheme="majorEastAsia" w:hAnsiTheme="majorEastAsia" w:eastAsiaTheme="majorEastAsia" w:cstheme="majorEastAsia"/>
          <w:sz w:val="28"/>
          <w:szCs w:val="28"/>
        </w:rPr>
        <w:t>指行政单位和参照公务员法管理的事业单位使用一般公共预算安排的基本支出中的日常公用经费支出。</w:t>
      </w:r>
    </w:p>
    <w:p>
      <w:pPr>
        <w:keepNext w:val="0"/>
        <w:keepLines w:val="0"/>
        <w:pageBreakBefore w:val="0"/>
        <w:widowControl/>
        <w:kinsoku/>
        <w:wordWrap/>
        <w:overflowPunct/>
        <w:topLinePunct w:val="0"/>
        <w:autoSpaceDE w:val="0"/>
        <w:autoSpaceDN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十三、政府购买服务：</w:t>
      </w:r>
      <w:r>
        <w:rPr>
          <w:rFonts w:hint="eastAsia" w:asciiTheme="majorEastAsia" w:hAnsiTheme="majorEastAsia" w:eastAsiaTheme="majorEastAsia" w:cstheme="major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keepNext w:val="0"/>
        <w:keepLines w:val="0"/>
        <w:pageBreakBefore w:val="0"/>
        <w:widowControl/>
        <w:kinsoku/>
        <w:wordWrap/>
        <w:overflowPunct/>
        <w:topLinePunct w:val="0"/>
        <w:autoSpaceDE w:val="0"/>
        <w:autoSpaceDN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十四、</w:t>
      </w:r>
      <w:r>
        <w:rPr>
          <w:rFonts w:hint="eastAsia" w:asciiTheme="majorEastAsia" w:hAnsiTheme="majorEastAsia" w:eastAsiaTheme="majorEastAsia" w:cstheme="majorEastAsia"/>
          <w:b/>
          <w:sz w:val="28"/>
          <w:szCs w:val="28"/>
        </w:rPr>
        <w:t>人员经费</w:t>
      </w:r>
      <w:r>
        <w:rPr>
          <w:rFonts w:hint="eastAsia" w:asciiTheme="majorEastAsia" w:hAnsiTheme="majorEastAsia" w:eastAsiaTheme="majorEastAsia" w:cstheme="majorEastAsia"/>
          <w:b/>
          <w:sz w:val="28"/>
          <w:szCs w:val="28"/>
        </w:rPr>
        <w:t>：</w:t>
      </w:r>
      <w:r>
        <w:rPr>
          <w:rFonts w:hint="eastAsia" w:asciiTheme="majorEastAsia" w:hAnsiTheme="majorEastAsia" w:eastAsiaTheme="majorEastAsia" w:cstheme="majorEastAsia"/>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keepNext w:val="0"/>
        <w:keepLines w:val="0"/>
        <w:pageBreakBefore w:val="0"/>
        <w:widowControl/>
        <w:kinsoku/>
        <w:wordWrap/>
        <w:overflowPunct/>
        <w:topLinePunct w:val="0"/>
        <w:autoSpaceDE w:val="0"/>
        <w:autoSpaceDN w:val="0"/>
        <w:bidi w:val="0"/>
        <w:adjustRightInd w:val="0"/>
        <w:snapToGrid w:val="0"/>
        <w:spacing w:after="0" w:line="500" w:lineRule="exact"/>
        <w:ind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十五、</w:t>
      </w:r>
      <w:r>
        <w:rPr>
          <w:rFonts w:hint="eastAsia" w:asciiTheme="majorEastAsia" w:hAnsiTheme="majorEastAsia" w:eastAsiaTheme="majorEastAsia" w:cstheme="majorEastAsia"/>
          <w:b/>
          <w:sz w:val="28"/>
          <w:szCs w:val="28"/>
        </w:rPr>
        <w:t>公用经费</w:t>
      </w:r>
      <w:r>
        <w:rPr>
          <w:rFonts w:hint="eastAsia" w:asciiTheme="majorEastAsia" w:hAnsiTheme="majorEastAsia" w:eastAsiaTheme="majorEastAsia" w:cstheme="majorEastAsia"/>
          <w:b/>
          <w:sz w:val="28"/>
          <w:szCs w:val="28"/>
        </w:rPr>
        <w:t>：</w:t>
      </w:r>
      <w:r>
        <w:rPr>
          <w:rFonts w:hint="eastAsia" w:asciiTheme="majorEastAsia" w:hAnsiTheme="majorEastAsia" w:eastAsiaTheme="majorEastAsia" w:cstheme="majorEastAsia"/>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第五部分 附件</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sz w:val="28"/>
          <w:szCs w:val="28"/>
        </w:rPr>
        <w:sectPr>
          <w:pgSz w:w="11906" w:h="16838"/>
          <w:pgMar w:top="1440" w:right="1800" w:bottom="1440" w:left="1800" w:header="708" w:footer="708" w:gutter="0"/>
          <w:pgNumType w:start="1"/>
          <w:cols w:space="708" w:num="1"/>
          <w:docGrid w:linePitch="360" w:charSpace="0"/>
        </w:sectPr>
      </w:pPr>
      <w:r>
        <w:rPr>
          <w:rFonts w:hint="eastAsia" w:asciiTheme="majorEastAsia" w:hAnsiTheme="majorEastAsia" w:eastAsiaTheme="majorEastAsia" w:cstheme="majorEastAsia"/>
          <w:sz w:val="28"/>
          <w:szCs w:val="28"/>
        </w:rPr>
        <w:t xml:space="preserve">    </w:t>
      </w:r>
      <w:bookmarkStart w:id="0" w:name="_GoBack"/>
      <w:bookmarkEnd w:id="0"/>
      <w:r>
        <w:rPr>
          <w:rFonts w:hint="eastAsia" w:asciiTheme="majorEastAsia" w:hAnsiTheme="majorEastAsia" w:eastAsiaTheme="majorEastAsia" w:cstheme="majorEastAsia"/>
          <w:sz w:val="28"/>
          <w:szCs w:val="28"/>
        </w:rPr>
        <w:t>我单位2021年度没有其他需要说明的事项。</w:t>
      </w:r>
    </w:p>
    <w:p>
      <w:pPr>
        <w:keepNext w:val="0"/>
        <w:keepLines w:val="0"/>
        <w:pageBreakBefore w:val="0"/>
        <w:widowControl/>
        <w:kinsoku/>
        <w:wordWrap/>
        <w:overflowPunct/>
        <w:topLinePunct w:val="0"/>
        <w:bidi w:val="0"/>
        <w:adjustRightInd w:val="0"/>
        <w:snapToGrid w:val="0"/>
        <w:spacing w:after="0" w:line="500" w:lineRule="exact"/>
        <w:textAlignment w:val="auto"/>
        <w:rPr>
          <w:rFonts w:hint="eastAsia" w:asciiTheme="majorEastAsia" w:hAnsiTheme="majorEastAsia" w:eastAsiaTheme="majorEastAsia" w:cstheme="majorEastAsia"/>
          <w:b/>
          <w:sz w:val="28"/>
          <w:szCs w:val="28"/>
        </w:rPr>
      </w:pP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41C5E"/>
    <w:multiLevelType w:val="singleLevel"/>
    <w:tmpl w:val="22C41C5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NGY5ODlkOTIxMmJmMmZhODE1M2QzODA1ZjUwYTcifQ=="/>
  </w:docVars>
  <w:rsids>
    <w:rsidRoot w:val="00D31D50"/>
    <w:rsid w:val="000034DB"/>
    <w:rsid w:val="00015092"/>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2359D"/>
    <w:rsid w:val="00234B1B"/>
    <w:rsid w:val="00250955"/>
    <w:rsid w:val="00257132"/>
    <w:rsid w:val="00261980"/>
    <w:rsid w:val="00272B46"/>
    <w:rsid w:val="00280E08"/>
    <w:rsid w:val="002B5A91"/>
    <w:rsid w:val="002C1613"/>
    <w:rsid w:val="00323B43"/>
    <w:rsid w:val="0032692D"/>
    <w:rsid w:val="00331879"/>
    <w:rsid w:val="00345A54"/>
    <w:rsid w:val="00346E9C"/>
    <w:rsid w:val="0034710F"/>
    <w:rsid w:val="003567F3"/>
    <w:rsid w:val="00375439"/>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F2386"/>
    <w:rsid w:val="004F3BD3"/>
    <w:rsid w:val="00534286"/>
    <w:rsid w:val="00586AAF"/>
    <w:rsid w:val="00587E89"/>
    <w:rsid w:val="005D49F3"/>
    <w:rsid w:val="005E4446"/>
    <w:rsid w:val="005F5CEF"/>
    <w:rsid w:val="005F7A3E"/>
    <w:rsid w:val="0060630C"/>
    <w:rsid w:val="006138A3"/>
    <w:rsid w:val="00626F0F"/>
    <w:rsid w:val="00632EB9"/>
    <w:rsid w:val="00642893"/>
    <w:rsid w:val="00654C22"/>
    <w:rsid w:val="006771DA"/>
    <w:rsid w:val="006B5051"/>
    <w:rsid w:val="006C6B8A"/>
    <w:rsid w:val="006D1676"/>
    <w:rsid w:val="006D1A65"/>
    <w:rsid w:val="006D641F"/>
    <w:rsid w:val="00704A94"/>
    <w:rsid w:val="007144CD"/>
    <w:rsid w:val="007313E8"/>
    <w:rsid w:val="00757151"/>
    <w:rsid w:val="00760958"/>
    <w:rsid w:val="00773998"/>
    <w:rsid w:val="007816A0"/>
    <w:rsid w:val="007917B1"/>
    <w:rsid w:val="007A3408"/>
    <w:rsid w:val="007C53C5"/>
    <w:rsid w:val="007D6BB9"/>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C4F82"/>
    <w:rsid w:val="009D6C64"/>
    <w:rsid w:val="00A46367"/>
    <w:rsid w:val="00A61FAF"/>
    <w:rsid w:val="00A73E29"/>
    <w:rsid w:val="00A76713"/>
    <w:rsid w:val="00A86E94"/>
    <w:rsid w:val="00AD7358"/>
    <w:rsid w:val="00AD7F7B"/>
    <w:rsid w:val="00AE1E0B"/>
    <w:rsid w:val="00AF1714"/>
    <w:rsid w:val="00AF73B7"/>
    <w:rsid w:val="00B05C60"/>
    <w:rsid w:val="00B06491"/>
    <w:rsid w:val="00B11481"/>
    <w:rsid w:val="00B24AE1"/>
    <w:rsid w:val="00B81AA3"/>
    <w:rsid w:val="00B87AD6"/>
    <w:rsid w:val="00B945EF"/>
    <w:rsid w:val="00B96867"/>
    <w:rsid w:val="00B969B8"/>
    <w:rsid w:val="00BD3FF2"/>
    <w:rsid w:val="00BE7EBF"/>
    <w:rsid w:val="00C03799"/>
    <w:rsid w:val="00C11733"/>
    <w:rsid w:val="00C12E0D"/>
    <w:rsid w:val="00C3223F"/>
    <w:rsid w:val="00C3277B"/>
    <w:rsid w:val="00C35842"/>
    <w:rsid w:val="00C440E2"/>
    <w:rsid w:val="00C46175"/>
    <w:rsid w:val="00C52272"/>
    <w:rsid w:val="00C858AD"/>
    <w:rsid w:val="00C85A8F"/>
    <w:rsid w:val="00CA1335"/>
    <w:rsid w:val="00CA7839"/>
    <w:rsid w:val="00CB6CA7"/>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F7E48"/>
    <w:rsid w:val="00E173C3"/>
    <w:rsid w:val="00E2388E"/>
    <w:rsid w:val="00E34FA3"/>
    <w:rsid w:val="00E72552"/>
    <w:rsid w:val="00E751B6"/>
    <w:rsid w:val="00E75761"/>
    <w:rsid w:val="00E92F6D"/>
    <w:rsid w:val="00EC3B89"/>
    <w:rsid w:val="00EC6A3F"/>
    <w:rsid w:val="00ED0204"/>
    <w:rsid w:val="00EF6880"/>
    <w:rsid w:val="00F03A02"/>
    <w:rsid w:val="00F30906"/>
    <w:rsid w:val="00F3245B"/>
    <w:rsid w:val="00F34971"/>
    <w:rsid w:val="00F41066"/>
    <w:rsid w:val="00F626F6"/>
    <w:rsid w:val="00F646A3"/>
    <w:rsid w:val="00F90000"/>
    <w:rsid w:val="00FA0D4A"/>
    <w:rsid w:val="00FA3F9F"/>
    <w:rsid w:val="00FC472E"/>
    <w:rsid w:val="00FC523D"/>
    <w:rsid w:val="00FD26CE"/>
    <w:rsid w:val="00FE3D82"/>
    <w:rsid w:val="00FE6260"/>
    <w:rsid w:val="00FF39E1"/>
    <w:rsid w:val="00FF597A"/>
    <w:rsid w:val="00FF740D"/>
    <w:rsid w:val="01681C52"/>
    <w:rsid w:val="0FD031A3"/>
    <w:rsid w:val="1D502BA9"/>
    <w:rsid w:val="3A2D1A24"/>
    <w:rsid w:val="7F92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qFormat/>
    <w:uiPriority w:val="0"/>
    <w:pPr>
      <w:keepNext/>
      <w:keepLines/>
      <w:spacing w:line="415" w:lineRule="auto"/>
      <w:outlineLvl w:val="1"/>
    </w:pPr>
    <w:rPr>
      <w:rFonts w:ascii="Cambria" w:hAnsi="Cambria" w:cs="Cambria"/>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B4C03-DEAE-4F5C-B7C8-926FE00D5A4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1328</Words>
  <Characters>7571</Characters>
  <Lines>63</Lines>
  <Paragraphs>17</Paragraphs>
  <TotalTime>3</TotalTime>
  <ScaleCrop>false</ScaleCrop>
  <LinksUpToDate>false</LinksUpToDate>
  <CharactersWithSpaces>8882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2022-06-06T08:10:00Z</dcterms:created>
  <dc:creator>Administrator</dc:creator>
  <cp:lastModifiedBy>Admin</cp:lastModifiedBy>
  <dcterms:modified xsi:type="dcterms:W3CDTF">2023-05-12T03:16:00Z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BEBF1DE409F54D82A257477729A08DD3</vt:lpwstr>
  </property>
</Properties>
</file>