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黑体" w:hAnsi="黑体" w:eastAsia="黑体" w:cs="黑体"/>
          <w:color w:val="000000" w:themeColor="text1"/>
        </w:rPr>
      </w:pPr>
      <w:r>
        <w:rPr>
          <w:rFonts w:hint="eastAsia" w:ascii="黑体" w:hAnsi="黑体" w:eastAsia="黑体" w:cs="黑体"/>
          <w:color w:val="000000" w:themeColor="text1"/>
        </w:rPr>
        <w:t>附件</w:t>
      </w:r>
    </w:p>
    <w:p>
      <w:pPr>
        <w:spacing w:line="220" w:lineRule="atLeast"/>
        <w:jc w:val="center"/>
        <w:rPr>
          <w:color w:val="000000" w:themeColor="text1"/>
        </w:rPr>
      </w:pPr>
      <w:r>
        <w:rPr>
          <w:rFonts w:hint="eastAsia" w:ascii="黑体" w:hAnsi="黑体" w:eastAsia="黑体" w:cs="黑体"/>
          <w:b/>
          <w:color w:val="000000" w:themeColor="text1"/>
          <w:sz w:val="36"/>
          <w:szCs w:val="36"/>
        </w:rPr>
        <w:t>301平顺县文化和旅游局2021年度部门决算公开</w:t>
      </w:r>
    </w:p>
    <w:p>
      <w:pPr>
        <w:spacing w:line="220" w:lineRule="atLeast"/>
        <w:jc w:val="center"/>
        <w:rPr>
          <w:rFonts w:ascii="黑体" w:hAnsi="黑体" w:eastAsia="黑体" w:cs="黑体"/>
          <w:b/>
          <w:color w:val="000000" w:themeColor="text1"/>
        </w:rPr>
      </w:pPr>
      <w:r>
        <w:rPr>
          <w:rFonts w:hint="eastAsia" w:ascii="黑体" w:hAnsi="黑体" w:eastAsia="黑体" w:cs="黑体"/>
          <w:b/>
          <w:color w:val="000000" w:themeColor="text1"/>
        </w:rPr>
        <w:t>目      录</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第一部分    概况</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一、本部门职责</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二、机构设置情况</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三、年度工作计划及执行情况</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第二部分    2021年度部门决算报表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一、收入支出决算总表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二、收入决算表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四、财政拨款收入支出决算总表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五、一般公共预算财政拨款支出决算表（一）</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六、一般公共预算财政拨款支出决算表（二）</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七、一般公共预算财政拨款“三公”经费支出决算表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八、政府性基金预算财政拨款收入支出决算表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九、国有资本经营预算财政拨款支出决算表</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十、部门决算公开相关信息统计表</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第三部分   2021年度部门决算情况说明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一、收入支出决算总体情况说明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二、收入决算情况说明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三、支出决算情况说明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四、财政拨款收入支出决算总体情况说明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五、一般公共预算财政拨款支出决算情况说明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六、一般公共预算财政拨款基本支出决算情况说明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七、一般公共预算财政拨款“三公”经费支出决算情况说明</w:t>
      </w:r>
    </w:p>
    <w:p>
      <w:pPr>
        <w:spacing w:line="220" w:lineRule="atLeast"/>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八、其他重要事项情况说明</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第四部分    名词解释</w:t>
      </w:r>
    </w:p>
    <w:p>
      <w:pPr>
        <w:spacing w:line="220" w:lineRule="atLeast"/>
        <w:rPr>
          <w:rFonts w:ascii="黑体" w:hAnsi="黑体" w:eastAsia="黑体" w:cs="黑体"/>
          <w:b/>
          <w:color w:val="000000" w:themeColor="text1"/>
          <w:sz w:val="28"/>
          <w:szCs w:val="28"/>
        </w:rPr>
      </w:pPr>
      <w:r>
        <w:rPr>
          <w:rFonts w:hint="eastAsia" w:ascii="黑体" w:hAnsi="黑体" w:eastAsia="黑体" w:cs="黑体"/>
          <w:b/>
          <w:color w:val="000000" w:themeColor="text1"/>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pStyle w:val="2"/>
        <w:rPr>
          <w:sz w:val="28"/>
          <w:szCs w:val="28"/>
        </w:rPr>
      </w:pPr>
    </w:p>
    <w:p>
      <w:pPr>
        <w:rPr>
          <w:b/>
          <w:sz w:val="28"/>
          <w:szCs w:val="28"/>
        </w:rPr>
      </w:pPr>
    </w:p>
    <w:p>
      <w:pPr>
        <w:pStyle w:val="2"/>
        <w:rPr>
          <w:sz w:val="28"/>
          <w:szCs w:val="28"/>
        </w:rPr>
      </w:pPr>
    </w:p>
    <w:p>
      <w:pPr>
        <w:rPr>
          <w:b/>
          <w:sz w:val="28"/>
          <w:szCs w:val="28"/>
        </w:rPr>
      </w:pPr>
    </w:p>
    <w:p>
      <w:pPr>
        <w:pStyle w:val="2"/>
        <w:rPr>
          <w:sz w:val="28"/>
          <w:szCs w:val="28"/>
        </w:rPr>
      </w:pPr>
    </w:p>
    <w:p/>
    <w:p>
      <w:pPr>
        <w:spacing w:line="220" w:lineRule="atLeast"/>
        <w:rPr>
          <w:b/>
          <w:sz w:val="28"/>
          <w:szCs w:val="28"/>
        </w:rPr>
      </w:pPr>
    </w:p>
    <w:p>
      <w:pPr>
        <w:spacing w:line="220" w:lineRule="atLeast"/>
        <w:rPr>
          <w:b/>
          <w:sz w:val="28"/>
          <w:szCs w:val="28"/>
        </w:rPr>
      </w:pPr>
    </w:p>
    <w:p>
      <w:pPr>
        <w:spacing w:line="220" w:lineRule="atLeast"/>
        <w:rPr>
          <w:rFonts w:cs="黑体" w:asciiTheme="majorEastAsia" w:hAnsiTheme="majorEastAsia" w:eastAsiaTheme="majorEastAsia"/>
          <w:b/>
          <w:sz w:val="32"/>
          <w:szCs w:val="32"/>
        </w:rPr>
      </w:pPr>
      <w:r>
        <w:rPr>
          <w:rFonts w:hint="eastAsia" w:cs="黑体" w:asciiTheme="majorEastAsia" w:hAnsiTheme="majorEastAsia" w:eastAsiaTheme="majorEastAsia"/>
          <w:b/>
          <w:sz w:val="32"/>
          <w:szCs w:val="32"/>
        </w:rPr>
        <w:t>第一部分概况</w:t>
      </w:r>
    </w:p>
    <w:p>
      <w:pPr>
        <w:widowControl w:val="0"/>
        <w:adjustRightInd/>
        <w:snapToGrid/>
        <w:spacing w:after="0" w:line="520" w:lineRule="exact"/>
        <w:ind w:left="638"/>
        <w:rPr>
          <w:rFonts w:cs="仿宋_GB2312" w:asciiTheme="majorEastAsia" w:hAnsiTheme="majorEastAsia" w:eastAsiaTheme="majorEastAsia"/>
          <w:b/>
          <w:bCs/>
          <w:kern w:val="2"/>
          <w:sz w:val="32"/>
          <w:szCs w:val="32"/>
        </w:rPr>
      </w:pPr>
      <w:r>
        <w:rPr>
          <w:rFonts w:hint="eastAsia" w:cs="仿宋_GB2312" w:asciiTheme="majorEastAsia" w:hAnsiTheme="majorEastAsia" w:eastAsiaTheme="majorEastAsia"/>
          <w:b/>
          <w:bCs/>
          <w:kern w:val="2"/>
          <w:sz w:val="32"/>
          <w:szCs w:val="32"/>
        </w:rPr>
        <w:t>一、本部门职责</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lang w:val="zh-CN"/>
        </w:rPr>
        <w:t>（1）拟订全县音乐、舞蹈、戏曲、戏剧、美术等文艺事业发展规划和扶持政策并组织实施。扶持体现社会主义核心价值观、具有导向性代表性示范性的文艺作品和代表县级水准及地方特色的文艺院团。指导艺术创作与生产,推动各门类艺术、各艺术品的发展。指导全县文化惠民演出工作，监督、指导社会组织业务工作。参与国有文艺院团改革工作，协调全县艺术展演、展览以及重大文艺活动。</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lang w:val="zh-CN"/>
        </w:rPr>
        <w:t>（2）拟订全县旅游科技创新发展规划并组织实施；组织协调旅游信息化、标准化工作。指导旅游院校共建和行业职业教育工作。拟定全县旅游产业政策、发展规划并组织实施。指导、促进全县旅游产业及新型业态发展，推动产业投资融资体系建设。促进文化和旅游融合发展，指导全县旅游建设项目申报和重点旅游设施建设。指导文化产业园区、基地建设。督促重大旅游产业项目实施；负责行业扶贫工作。指导旅游商品研发和管理工作,指导旅游演艺开发等工作。承担旅游资源普查、规划、开发和保护。统筹指导旅游市场开发，指导重点旅游区域、目的地、线路的规划和乡村旅游、休闲度假旅游发展。指导、推进全域旅游和旅游产品创新及开发体系建设。承担红色旅游相关工作。指导、管理旅游对外及对港澳台交流和宣传推广工作。组织开展对外及对港澳台的旅游交流活动,推动平顺旅游市场发展。拟订旅游市场监管制度,对市场经营活动进行行业监管，规范旅游企业和从业人员的经营和服务行为。承担旅游行业信用体系建设工作。组织实施旅游市场经营场所、设施、服务、产品等标准。综合协调全县旅游市场秩序和服务质量的监督管理。监督、指导旅游行业社会组织业务工作。综合协调、监督管理旅游行业安全生产工作,指导应急救援工作。指导从业人员职业资格管理工作，并承担全县旅游行业安全监管职责。</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lang w:val="zh-CN"/>
        </w:rPr>
        <w:t>（3）拟定全县文物和博物馆事业发展规划，组织文物资源调查。负责指导全县文物和博物馆的业务工作。负责国家级和省级、市级文物保护单位的推荐申报工作,承担确定县级文物保护单位的有关工作。组织指导全县文物保护宣传工作。管理指导全县文物保护和考古工作,组织协调文物保护和考古项目的实施。协调博物馆间的交流与协作。协同住房和城乡建设部门负责国家及省级历史文化名城(镇、村)的推荐申报和相关保护管理监督工作。并承担全县文物行业安全监管工作。</w:t>
      </w:r>
    </w:p>
    <w:p>
      <w:pPr>
        <w:shd w:val="clear" w:color="auto" w:fill="FFFFFF"/>
        <w:adjustRightInd/>
        <w:snapToGrid/>
        <w:spacing w:after="0" w:line="520" w:lineRule="exact"/>
        <w:ind w:firstLine="640" w:firstLineChars="200"/>
        <w:rPr>
          <w:rFonts w:asciiTheme="majorEastAsia" w:hAnsiTheme="majorEastAsia" w:eastAsiaTheme="majorEastAsia"/>
          <w:sz w:val="28"/>
          <w:szCs w:val="28"/>
        </w:rPr>
      </w:pPr>
      <w:r>
        <w:rPr>
          <w:rFonts w:hint="eastAsia" w:cs="仿宋_GB2312" w:asciiTheme="majorEastAsia" w:hAnsiTheme="majorEastAsia" w:eastAsiaTheme="majorEastAsia"/>
          <w:kern w:val="2"/>
          <w:sz w:val="32"/>
          <w:szCs w:val="32"/>
          <w:lang w:val="zh-CN"/>
        </w:rPr>
        <w:t>（4）承担县委、县政府交办的其他事项。</w:t>
      </w:r>
    </w:p>
    <w:p>
      <w:pPr>
        <w:widowControl w:val="0"/>
        <w:adjustRightInd/>
        <w:snapToGrid/>
        <w:spacing w:after="0" w:line="520" w:lineRule="exact"/>
        <w:ind w:left="638"/>
        <w:rPr>
          <w:rFonts w:cs="仿宋_GB2312" w:asciiTheme="majorEastAsia" w:hAnsiTheme="majorEastAsia" w:eastAsiaTheme="majorEastAsia"/>
          <w:b/>
          <w:bCs/>
          <w:kern w:val="2"/>
          <w:sz w:val="32"/>
          <w:szCs w:val="32"/>
        </w:rPr>
      </w:pPr>
      <w:r>
        <w:rPr>
          <w:rFonts w:hint="eastAsia" w:cs="仿宋_GB2312" w:asciiTheme="majorEastAsia" w:hAnsiTheme="majorEastAsia" w:eastAsiaTheme="majorEastAsia"/>
          <w:b/>
          <w:bCs/>
          <w:kern w:val="2"/>
          <w:sz w:val="32"/>
          <w:szCs w:val="32"/>
        </w:rPr>
        <w:t>二、机构设置情况</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1.根据部门职责分工，本部门内设机构包括</w:t>
      </w:r>
      <w:r>
        <w:rPr>
          <w:rFonts w:hint="eastAsia" w:cs="仿宋_GB2312" w:asciiTheme="majorEastAsia" w:hAnsiTheme="majorEastAsia" w:eastAsiaTheme="majorEastAsia"/>
          <w:kern w:val="2"/>
          <w:sz w:val="32"/>
          <w:szCs w:val="32"/>
          <w:lang w:val="zh-CN"/>
        </w:rPr>
        <w:t>综合办公室、文化股、旅游股、文物股</w:t>
      </w:r>
      <w:r>
        <w:rPr>
          <w:rFonts w:hint="eastAsia" w:cs="仿宋_GB2312" w:asciiTheme="majorEastAsia" w:hAnsiTheme="majorEastAsia" w:eastAsiaTheme="majorEastAsia"/>
          <w:kern w:val="2"/>
          <w:sz w:val="32"/>
          <w:szCs w:val="32"/>
        </w:rPr>
        <w:t>。本部门下属单位包括：平顺县文化和旅游局(本级)、平顺县文化服务中心、平顺县文化市场综合行政执法队、平顺县图书馆和平顺县人民文化馆。</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从决算单位构成看，纳入平顺县文旅局部门2021年部门汇总决算编制范围的预算单位共计5家，具体包括：平顺县文化和旅游局(本级)、平顺县文化服务中心、平顺县文化市场综合行政执法队、平顺县图书馆和平顺县人民文化馆。</w:t>
      </w:r>
    </w:p>
    <w:p>
      <w:pPr>
        <w:spacing w:line="520" w:lineRule="exact"/>
        <w:ind w:firstLine="643" w:firstLineChars="200"/>
        <w:rPr>
          <w:rFonts w:asciiTheme="majorEastAsia" w:hAnsiTheme="majorEastAsia" w:eastAsiaTheme="majorEastAsia"/>
          <w:sz w:val="28"/>
          <w:szCs w:val="28"/>
        </w:rPr>
      </w:pPr>
      <w:r>
        <w:rPr>
          <w:rFonts w:hint="eastAsia" w:cs="仿宋_GB2312" w:asciiTheme="majorEastAsia" w:hAnsiTheme="majorEastAsia" w:eastAsiaTheme="majorEastAsia"/>
          <w:b/>
          <w:bCs/>
          <w:kern w:val="2"/>
          <w:sz w:val="32"/>
          <w:szCs w:val="32"/>
        </w:rPr>
        <w:t xml:space="preserve">三、年度工作计划及执行情况   </w:t>
      </w:r>
      <w:r>
        <w:rPr>
          <w:rFonts w:hint="eastAsia" w:asciiTheme="majorEastAsia" w:hAnsiTheme="majorEastAsia" w:eastAsiaTheme="majorEastAsia"/>
          <w:sz w:val="28"/>
          <w:szCs w:val="28"/>
        </w:rPr>
        <w:t xml:space="preserve"> </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1.</w:t>
      </w:r>
      <w:r>
        <w:rPr>
          <w:rFonts w:hint="eastAsia" w:cs="仿宋_GB2312" w:asciiTheme="majorEastAsia" w:hAnsiTheme="majorEastAsia" w:eastAsiaTheme="majorEastAsia"/>
          <w:kern w:val="2"/>
          <w:sz w:val="32"/>
          <w:szCs w:val="32"/>
          <w:lang w:val="zh-CN"/>
        </w:rPr>
        <w:t>突出改革创新，</w:t>
      </w:r>
      <w:r>
        <w:rPr>
          <w:rFonts w:hint="eastAsia" w:cs="仿宋_GB2312" w:asciiTheme="majorEastAsia" w:hAnsiTheme="majorEastAsia" w:eastAsiaTheme="majorEastAsia"/>
          <w:kern w:val="2"/>
          <w:sz w:val="32"/>
          <w:szCs w:val="32"/>
        </w:rPr>
        <w:t>全力创建国家全域旅游示范区。</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rPr>
        <w:t>2.</w:t>
      </w:r>
      <w:r>
        <w:rPr>
          <w:rFonts w:hint="eastAsia" w:cs="仿宋_GB2312" w:asciiTheme="majorEastAsia" w:hAnsiTheme="majorEastAsia" w:eastAsiaTheme="majorEastAsia"/>
          <w:kern w:val="2"/>
          <w:sz w:val="32"/>
          <w:szCs w:val="32"/>
          <w:lang w:val="zh-CN"/>
        </w:rPr>
        <w:t>突出项目建设，推动文旅产业转型发展。</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rPr>
        <w:t>3.</w:t>
      </w:r>
      <w:r>
        <w:rPr>
          <w:rFonts w:hint="eastAsia" w:cs="仿宋_GB2312" w:asciiTheme="majorEastAsia" w:hAnsiTheme="majorEastAsia" w:eastAsiaTheme="majorEastAsia"/>
          <w:kern w:val="2"/>
          <w:sz w:val="32"/>
          <w:szCs w:val="32"/>
          <w:lang w:val="zh-CN"/>
        </w:rPr>
        <w:t>突出宣传推介，拓宽文旅品牌推广途径。</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rPr>
        <w:t>4.</w:t>
      </w:r>
      <w:r>
        <w:rPr>
          <w:rFonts w:hint="eastAsia" w:cs="仿宋_GB2312" w:asciiTheme="majorEastAsia" w:hAnsiTheme="majorEastAsia" w:eastAsiaTheme="majorEastAsia"/>
          <w:kern w:val="2"/>
          <w:sz w:val="32"/>
          <w:szCs w:val="32"/>
          <w:lang w:val="zh-CN"/>
        </w:rPr>
        <w:t>突出基础提升，推进文旅产业全面发展。</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lang w:val="zh-CN"/>
        </w:rPr>
      </w:pPr>
      <w:r>
        <w:rPr>
          <w:rFonts w:hint="eastAsia" w:cs="仿宋_GB2312" w:asciiTheme="majorEastAsia" w:hAnsiTheme="majorEastAsia" w:eastAsiaTheme="majorEastAsia"/>
          <w:kern w:val="2"/>
          <w:sz w:val="32"/>
          <w:szCs w:val="32"/>
        </w:rPr>
        <w:t>5.</w:t>
      </w:r>
      <w:r>
        <w:rPr>
          <w:rFonts w:hint="eastAsia" w:cs="仿宋_GB2312" w:asciiTheme="majorEastAsia" w:hAnsiTheme="majorEastAsia" w:eastAsiaTheme="majorEastAsia"/>
          <w:kern w:val="2"/>
          <w:sz w:val="32"/>
          <w:szCs w:val="32"/>
          <w:lang w:val="zh-CN"/>
        </w:rPr>
        <w:t>突出保护传承，促进文化遗产合理利用。</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6.突出应急处置，确保各景区安全顺利度过汛期。</w:t>
      </w:r>
    </w:p>
    <w:p>
      <w:pPr>
        <w:shd w:val="clear" w:color="auto" w:fill="FFFFFF"/>
        <w:adjustRightInd/>
        <w:snapToGrid/>
        <w:spacing w:after="0" w:line="520" w:lineRule="exact"/>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第二部分 2021年度部门决算报表（见附表1）</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一、收入支出决算总表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二、收入决算表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三、支出决算表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四、财政拨款收入支出决算总表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五、一般公共预算财政拨款支出决算表（一）</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六、一般公共预算财政拨款支出决算表（二）</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七、一般公共预算财政拨款“三公”经费支出决算表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八、政府性基金预算财政拨款收入支出决算表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九、国有资本经营预算财政   拨款支出决算表</w:t>
      </w:r>
    </w:p>
    <w:p>
      <w:pPr>
        <w:widowControl w:val="0"/>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十、部门决算公开相关信息统计表</w:t>
      </w:r>
    </w:p>
    <w:p>
      <w:pPr>
        <w:shd w:val="clear" w:color="auto" w:fill="FFFFFF"/>
        <w:adjustRightInd/>
        <w:snapToGrid/>
        <w:spacing w:after="0" w:line="520" w:lineRule="exact"/>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第三部分 2021年度部门决算情况说明</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一、收入支出决算总体情况说明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收入总计2794.45万元、支出总计3230.13万元。与上年相比，收入总计增加-531.77万元，增加-15.99%，支出总计增加-1496.32万元，增加-31.66%。主要原因有：一是上年度初有以前年度结转资金；二是根据相关规定压减一般性支出，同时盘活财政结存资金，上年度末财政收回以往年末还未支付的资金，本年度实际支付资金全部为当年财政拨款。</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二、收入决算情况说明</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2021年度收入合计2794.45万元，其中：财政拨款收入2763.85万元，占比98.90%；上级补助收入0万元，占比0%；事业收入0万元，占比0%；经营收入0万元，占比0%；附属单位上缴收入0万元，占比0%；其他收入30.60万元，占比1.10%。</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三、支出决算情况说明</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2021年度支出合计3230.13万元，其中：基本支出456.73万元，占比14.14%；项目支出2773.40万元，占比85.86%；上缴上级支出0万元，占比0%，经营支出0万元，占比0%， 对附属单位补助支出0万元，占比0%。</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四、财政拨款收入支出决算总体情况说明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财政拨款收入总计2763.85万元、支出总计3192.48万元。与上年相比，财政拨款收入总计增加-213.85万元，增加-7.18%，财政拨款支出总计增加-1071.81万元，增加-25.13%。主要原因是财政拨款减少，厉行节约，同时上年度剩余有结余资金。</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五、一般公共预算财政拨款支出决算情况说明</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（一）财政拨款支出决算总体情况</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2021年度财政拨款支出3092.04万元，占本年支出合计的95.72%。与上年相比，财政拨款支出增加-1038.24万元，增加-25.14%。主要原因是人员减少同时人头经费减少。其中，人员经费355.73万元，占比11.50%， 日常公用经费95.80万元，占比3.10%。</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（二）财政拨款支出决算结构情况</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2021年度财政拨款支出3092.04万元，主要用于以下方面：一般公共服务（类）支出39.42万元，占1.27%；文化旅游体育与传媒（类）支出2961.03万元，占95.76%；社会保障和就业（类）支出30.32万元， 占0.98%；卫生健康（类）支出16.21万元，占0.52%；农林水（类）支出14.60万元，占0.47%；住房保障（类）支出30.46万元，占0.99%。</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（三）财政拨款支出决算具体情况</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2021年度财政拨款支出年初预算1263.81万元，支出决算3092.04万元，完成年初预算的244.66%。其中：</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一般公共服务支出年初预算4.32万元，支出决算39.42万元完成年初预算的912.5%，用于工会事务和其他宣传事务支出较上年决算增加32.49万元，增长468.83%，主要原因增加其他宣传事务支出的生活补助经费; 文化旅游体育与传媒支出年初预算1172.15万元，支出决算2961.03万元完成年初预算的252.62%，用于文化和旅游、文物、新闻出版电影和其他文化旅游体育与传媒支出较上年决算增加-1053.74万元，增长-26.25%，主要原因减少专用设备购置和基础设施建设; 社会保障和就业支出年初预算40.17万元，支出决算30.32万元完成年初预算的75.48%，用于机关事业单位基本养老保险缴费支出较上年决算增加-19.71万元，增长-39.40%，主要原因人员减少;卫生健康支出年初预算16.96万元，支出决算16.21万元完成年初预算的95.58%，用于行政事业单位医疗较上年决算增加-4.90万元，增长-23.21%，主要原因人员减少; 农林水支出年初预算0万元，支出决算14.60万元完成年初预算的0%，用于其他扶贫支出较上年决算增加14.60万元，增长0%，主要原因增加扶贫支出; 住房保障支出年初预算30.21万元，支出决算30.46万元完成年初预算的100.83%，用于住房公积金较上年决算增加-6.99万元，增长-18.66%，主要原因人员减少。</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六、一般公共预算财政拨款基本支出决算情况说明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2021年度财政拨款基本支出451.53万元，其中：人员经费355.73万元，主要包括工资和社保支出；公用经费95.80万元，主要包括日常办公费支出。</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七、一般公共预算财政拨款“三公”经费支出决算情况说明</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（一）“三公”经费财政拨款支出决算总体情况说明。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2021年度“三公”经费财政拨款支出预算2.58万元，支出决算2.53万元，完成预算的98.06%，比上年增加-0.64万元，增长-20.19%，主要原因是：由于疫情下乡减少。</w:t>
      </w:r>
    </w:p>
    <w:p>
      <w:pPr>
        <w:widowControl w:val="0"/>
        <w:numPr>
          <w:ilvl w:val="0"/>
          <w:numId w:val="1"/>
        </w:numPr>
        <w:adjustRightInd/>
        <w:snapToGrid/>
        <w:spacing w:after="0" w:line="520" w:lineRule="exact"/>
        <w:ind w:firstLine="636"/>
        <w:jc w:val="both"/>
        <w:rPr>
          <w:rFonts w:asciiTheme="majorEastAsia" w:hAnsiTheme="majorEastAsia" w:eastAsiaTheme="majorEastAsia"/>
        </w:rPr>
      </w:pPr>
      <w:r>
        <w:rPr>
          <w:rFonts w:hint="eastAsia" w:asciiTheme="majorEastAsia" w:hAnsiTheme="majorEastAsia" w:eastAsiaTheme="majorEastAsia"/>
          <w:b/>
          <w:kern w:val="2"/>
          <w:sz w:val="32"/>
          <w:szCs w:val="32"/>
        </w:rPr>
        <w:t>“三公”经费财政拨款支出决算具体情况说明。</w:t>
      </w:r>
    </w:p>
    <w:p>
      <w:pPr>
        <w:widowControl w:val="0"/>
        <w:adjustRightInd/>
        <w:snapToGrid/>
        <w:spacing w:after="0" w:line="520" w:lineRule="exact"/>
        <w:ind w:firstLine="635"/>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（1）与预算数比较</w:t>
      </w:r>
    </w:p>
    <w:tbl>
      <w:tblPr>
        <w:tblStyle w:val="6"/>
        <w:tblW w:w="8381" w:type="dxa"/>
        <w:tblInd w:w="91" w:type="dxa"/>
        <w:tblLayout w:type="fixed"/>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2021三公经费明细</w:t>
            </w:r>
          </w:p>
        </w:tc>
        <w:tc>
          <w:tcPr>
            <w:tcW w:w="181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预算数（万元）</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决算数（万元）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合计</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2.58</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98.06</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因公出国（境）费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2.58</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98.06</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2.58</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98.06</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公务接待费</w:t>
            </w:r>
          </w:p>
        </w:tc>
        <w:tc>
          <w:tcPr>
            <w:tcW w:w="1819"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843" w:type="dxa"/>
            <w:tcBorders>
              <w:top w:val="single" w:color="auto" w:sz="4" w:space="0"/>
              <w:left w:val="single" w:color="auto" w:sz="4" w:space="0"/>
              <w:bottom w:val="single" w:color="auto" w:sz="4" w:space="0"/>
              <w:right w:val="single" w:color="auto" w:sz="4" w:space="0"/>
            </w:tcBorders>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r>
    </w:tbl>
    <w:p>
      <w:pPr>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（2）上下年度比较</w:t>
      </w:r>
    </w:p>
    <w:tbl>
      <w:tblPr>
        <w:tblStyle w:val="6"/>
        <w:tblW w:w="8431" w:type="dxa"/>
        <w:tblInd w:w="91" w:type="dxa"/>
        <w:tblLayout w:type="fixed"/>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三公经费明细</w:t>
            </w:r>
          </w:p>
        </w:tc>
        <w:tc>
          <w:tcPr>
            <w:tcW w:w="3118" w:type="dxa"/>
            <w:gridSpan w:val="2"/>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w:t>
            </w:r>
          </w:p>
        </w:tc>
        <w:tc>
          <w:tcPr>
            <w:tcW w:w="1184" w:type="dxa"/>
            <w:vMerge w:val="restart"/>
            <w:tcBorders>
              <w:top w:val="single" w:color="auto" w:sz="4" w:space="0"/>
              <w:left w:val="nil"/>
              <w:right w:val="single" w:color="auto" w:sz="4" w:space="0"/>
            </w:tcBorders>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cs="宋体" w:asciiTheme="majorEastAsia" w:hAnsiTheme="majorEastAsia" w:eastAsiaTheme="majorEastAsia"/>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合计</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3.17</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-0.64</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-20.19</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因公出国（境）费</w:t>
            </w:r>
          </w:p>
        </w:tc>
        <w:tc>
          <w:tcPr>
            <w:tcW w:w="1701"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417"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418"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公务用车购置及运行维护费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3.01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-0.48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-15.95</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2.53</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3.01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-0.48</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-15.95</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vAlign w:val="center"/>
          </w:tcPr>
          <w:p>
            <w:pPr>
              <w:rPr>
                <w:rFonts w:cs="宋体" w:asciiTheme="majorEastAsia" w:hAnsiTheme="majorEastAsia" w:eastAsiaTheme="majorEastAsia"/>
                <w:color w:val="000000"/>
              </w:rPr>
            </w:pPr>
            <w:r>
              <w:rPr>
                <w:rFonts w:hint="eastAsia" w:cs="宋体" w:asciiTheme="majorEastAsia" w:hAnsiTheme="majorEastAsia" w:eastAsiaTheme="majorEastAsia"/>
                <w:color w:val="000000"/>
              </w:rPr>
              <w:t>公务接待费</w:t>
            </w:r>
          </w:p>
        </w:tc>
        <w:tc>
          <w:tcPr>
            <w:tcW w:w="1701"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w:t>
            </w:r>
          </w:p>
        </w:tc>
        <w:tc>
          <w:tcPr>
            <w:tcW w:w="1417"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0.17</w:t>
            </w:r>
          </w:p>
        </w:tc>
        <w:tc>
          <w:tcPr>
            <w:tcW w:w="1418"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-0.17</w:t>
            </w:r>
          </w:p>
        </w:tc>
        <w:tc>
          <w:tcPr>
            <w:tcW w:w="1184"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-100.00</w:t>
            </w:r>
          </w:p>
        </w:tc>
      </w:tr>
    </w:tbl>
    <w:p>
      <w:pPr>
        <w:ind w:firstLine="636"/>
        <w:rPr>
          <w:rFonts w:asciiTheme="majorEastAsia" w:hAnsiTheme="majorEastAsia" w:eastAsiaTheme="majorEastAsia"/>
          <w:b/>
          <w:sz w:val="32"/>
          <w:szCs w:val="32"/>
        </w:rPr>
      </w:pPr>
      <w:r>
        <w:rPr>
          <w:rFonts w:hint="eastAsia" w:asciiTheme="majorEastAsia" w:hAnsiTheme="majorEastAsia" w:eastAsiaTheme="majorEastAsia"/>
          <w:b/>
          <w:sz w:val="32"/>
          <w:szCs w:val="32"/>
        </w:rPr>
        <w:t>（3）具体情况说明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一般公共预算安排的“三公”经费年初预算2.58万元，支出决算2.53万元，完成年初预算的98.06%，比上年增加-0.64万元，增长-20.19%。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初预算2.58万元，支出决算2.53万元，完成年初预算的98.06%，比上年增加-0.64万元，增长-20.19%（具体：其中公务用车购置费年初预算0万元，支出决算0万元，完成年初预算的0%，比上年增加0万元，增长0%，原因是我部门2021年度未购置公务用车；公务用车运行维护费年初预算2.58万元，支出决算2.53万元，完成年初预算的98.06%，比上年增加-0.64万元，增长-20.19%，原因是由于疫情下乡减少）；公务接待费年初预算0万元，支出决算　0万元，完成年初预算的0%，比上年增加-0.17万元，增长-100.00%，原因是由于疫情接待取消（全年年使用一般公共预算拨款开支的国内公务接待0批次，0人次。）</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八、其他重要事项情况说明</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（一）机关运行经费支出情况说明</w:t>
      </w:r>
    </w:p>
    <w:p>
      <w:pPr>
        <w:spacing w:line="520" w:lineRule="exact"/>
        <w:ind w:firstLine="640" w:firstLineChars="200"/>
        <w:rPr>
          <w:rFonts w:cs="仿宋_GB2312" w:asciiTheme="majorEastAsia" w:hAnsiTheme="majorEastAsia" w:eastAsiaTheme="majorEastAsia"/>
          <w:color w:val="FF0000"/>
          <w:kern w:val="2"/>
          <w:sz w:val="32"/>
          <w:szCs w:val="32"/>
        </w:rPr>
      </w:pPr>
      <w:r>
        <w:rPr>
          <w:rFonts w:hint="eastAsia" w:cs="仿宋_GB2312" w:asciiTheme="majorEastAsia" w:hAnsiTheme="majorEastAsia" w:eastAsiaTheme="majorEastAsia"/>
          <w:kern w:val="2"/>
          <w:sz w:val="32"/>
          <w:szCs w:val="32"/>
        </w:rPr>
        <w:t>2021年机关运行经费支出52.60万元，比上年增加-61.66万元，增长-53.97%。主要原因是：工作经费减少，财政资金缩减。</w:t>
      </w:r>
      <w:r>
        <w:rPr>
          <w:rFonts w:hint="eastAsia" w:cs="仿宋_GB2312" w:asciiTheme="majorEastAsia" w:hAnsiTheme="majorEastAsia" w:eastAsiaTheme="majorEastAsia"/>
          <w:color w:val="FF0000"/>
          <w:kern w:val="2"/>
          <w:sz w:val="32"/>
          <w:szCs w:val="32"/>
        </w:rPr>
        <w:t xml:space="preserve"> </w:t>
      </w:r>
    </w:p>
    <w:p>
      <w:pPr>
        <w:spacing w:line="520" w:lineRule="exact"/>
        <w:ind w:firstLine="643" w:firstLineChars="200"/>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（二）政府采购情况说明</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2021年度政府采购支出总额89.61万元，其中：政府采购货物支出4万元、政府采购工程支出3万元、政府采购服务支出82.61万元。政府采购授予中小企业合同金额0万元，占政府采购支出总额的0%。其中：授予小微企业合同金额0万元，占政府采购支出总额的0%。</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（三）国有资产占用情况说明</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（1）房屋情况</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截至2021年12月31日，本部门共有房屋0平方米，价值为0万元，其中办公用房0平方米，价值为0万元；业务用房0平方米，价值为0万元；其他（不含构筑物）0平方米，价值为0万元。</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（2）车辆及设备情况</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Cs/>
          <w:kern w:val="2"/>
          <w:sz w:val="32"/>
          <w:szCs w:val="32"/>
        </w:rPr>
        <w:t>截至2021年12月31日，本部门共有车辆6辆。其中，副部（省）级及以上领导用车0辆、主要领导干部用车0辆、机要通信用车0辆、应急保障用车0辆、执法执勤用车0辆、特种专业技术用车4辆、离退休干部用车0辆、其他用车2辆，其他用车主要是一般公务用车；单价50万元（含）以上的通用设备1台（套），单价100万元（含）以上专用设备70台（套）。</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（四）预算绩效情况说明</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（1）预算绩效管理工作开展情况。</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根据预算绩效管理要求，我部门组织对2021年度县级财政预算安排的专项资金类0</w:t>
      </w:r>
      <w:bookmarkStart w:id="0" w:name="_GoBack"/>
      <w:bookmarkEnd w:id="0"/>
      <w:r>
        <w:rPr>
          <w:rFonts w:hint="eastAsia" w:cs="仿宋_GB2312" w:asciiTheme="majorEastAsia" w:hAnsiTheme="majorEastAsia" w:eastAsiaTheme="majorEastAsia"/>
          <w:kern w:val="2"/>
          <w:sz w:val="32"/>
          <w:szCs w:val="32"/>
        </w:rPr>
        <w:t>个项目支出全面开展绩效自评，涉及预算资金0万元，占一般公共预算项目支出总额的0%。组织对2021年度地方旅游开发项目补助(基金)等0个政府性基金预算项目支出开展绩效自评，共涉及预算资金0万元，占政府性基金预算项目支出总额的0%。</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组织0个项目开展了部门评价，涉及一般公共预算支出0万元，政府性基金预算支出0万元。</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组织0个单位开展整体绩效评价试点，涉及一般公共预算支出0万元，政府性基金预算支出0万元。</w:t>
      </w:r>
    </w:p>
    <w:p>
      <w:pPr>
        <w:widowControl w:val="0"/>
        <w:adjustRightInd/>
        <w:snapToGrid/>
        <w:spacing w:after="0" w:line="520" w:lineRule="exact"/>
        <w:ind w:firstLine="636"/>
        <w:jc w:val="both"/>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（2）部门决算中项目绩效自评结果。每个部门至少选择3个项目向社会公开，按照如下格式进行说明。</w:t>
      </w:r>
    </w:p>
    <w:p>
      <w:pPr>
        <w:widowControl w:val="0"/>
        <w:adjustRightInd/>
        <w:snapToGrid/>
        <w:spacing w:after="0" w:line="520" w:lineRule="exact"/>
        <w:ind w:firstLine="636"/>
        <w:jc w:val="both"/>
        <w:rPr>
          <w:rFonts w:cs="仿宋_GB2312" w:asciiTheme="majorEastAsia" w:hAnsiTheme="majorEastAsia" w:eastAsiaTheme="majorEastAsia"/>
          <w:kern w:val="2"/>
          <w:sz w:val="32"/>
          <w:szCs w:val="32"/>
        </w:rPr>
      </w:pPr>
      <w:r>
        <w:rPr>
          <w:rFonts w:hint="eastAsia" w:asciiTheme="majorEastAsia" w:hAnsiTheme="majorEastAsia" w:eastAsiaTheme="majorEastAsia"/>
          <w:bCs/>
          <w:kern w:val="2"/>
          <w:sz w:val="32"/>
          <w:szCs w:val="32"/>
        </w:rPr>
        <w:t>项目绩效自评综述</w:t>
      </w:r>
      <w:r>
        <w:rPr>
          <w:rFonts w:hint="eastAsia" w:cs="仿宋_GB2312" w:asciiTheme="majorEastAsia" w:hAnsiTheme="majorEastAsia" w:eastAsiaTheme="majorEastAsia"/>
          <w:bCs/>
          <w:kern w:val="2"/>
          <w:sz w:val="32"/>
          <w:szCs w:val="32"/>
        </w:rPr>
        <w:t>：</w:t>
      </w:r>
      <w:r>
        <w:rPr>
          <w:rFonts w:hint="eastAsia" w:cs="仿宋_GB2312" w:asciiTheme="majorEastAsia" w:hAnsiTheme="majorEastAsia" w:eastAsiaTheme="majorEastAsia"/>
          <w:kern w:val="2"/>
          <w:sz w:val="32"/>
          <w:szCs w:val="32"/>
        </w:rPr>
        <w:t>根据年初设定的绩效目标，项目自评得分为0分。全年预算数为0万元，执行数为0万元，完成预算的0%。</w:t>
      </w:r>
    </w:p>
    <w:p>
      <w:pPr>
        <w:widowControl w:val="0"/>
        <w:adjustRightInd/>
        <w:snapToGrid/>
        <w:spacing w:after="0" w:line="520" w:lineRule="exact"/>
        <w:ind w:firstLine="636"/>
        <w:jc w:val="both"/>
        <w:rPr>
          <w:rFonts w:asciiTheme="majorEastAsia" w:hAnsiTheme="majorEastAsia" w:eastAsiaTheme="majorEastAsia"/>
          <w:bCs/>
          <w:kern w:val="2"/>
          <w:sz w:val="32"/>
          <w:szCs w:val="32"/>
        </w:rPr>
      </w:pPr>
      <w:r>
        <w:rPr>
          <w:rFonts w:hint="eastAsia" w:asciiTheme="majorEastAsia" w:hAnsiTheme="majorEastAsia" w:eastAsiaTheme="majorEastAsia"/>
          <w:b/>
          <w:kern w:val="2"/>
          <w:sz w:val="32"/>
          <w:szCs w:val="32"/>
        </w:rPr>
        <w:t>（3）部门评价项目绩效评价结果。</w:t>
      </w:r>
    </w:p>
    <w:p>
      <w:pPr>
        <w:pStyle w:val="2"/>
        <w:ind w:firstLine="640" w:firstLineChars="200"/>
        <w:rPr>
          <w:rFonts w:hint="eastAsia" w:cs="Times New Roman" w:asciiTheme="majorEastAsia" w:hAnsiTheme="majorEastAsia" w:eastAsiaTheme="majorEastAsia"/>
          <w:b w:val="0"/>
          <w:bCs/>
          <w:kern w:val="2"/>
          <w:sz w:val="32"/>
          <w:szCs w:val="32"/>
          <w:lang w:val="en-US" w:eastAsia="zh-CN" w:bidi="ar-SA"/>
        </w:rPr>
      </w:pPr>
      <w:r>
        <w:rPr>
          <w:rFonts w:hint="eastAsia" w:cs="Times New Roman" w:asciiTheme="majorEastAsia" w:hAnsiTheme="majorEastAsia" w:eastAsiaTheme="majorEastAsia"/>
          <w:b w:val="0"/>
          <w:bCs/>
          <w:kern w:val="2"/>
          <w:sz w:val="32"/>
          <w:szCs w:val="32"/>
          <w:lang w:val="en-US" w:eastAsia="zh-CN" w:bidi="ar-SA"/>
        </w:rPr>
        <w:t>我单位本年度没有进行部门评价项目绩效评价</w:t>
      </w:r>
    </w:p>
    <w:p>
      <w:pPr>
        <w:pStyle w:val="2"/>
        <w:ind w:firstLine="643" w:firstLineChars="200"/>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（五）其他需要说明的事项</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1、培训费：</w:t>
      </w:r>
      <w:r>
        <w:rPr>
          <w:rFonts w:hint="eastAsia" w:cs="仿宋_GB2312" w:asciiTheme="majorEastAsia" w:hAnsiTheme="majorEastAsia" w:eastAsiaTheme="majorEastAsia"/>
          <w:kern w:val="2"/>
          <w:sz w:val="32"/>
          <w:szCs w:val="32"/>
        </w:rPr>
        <w:t>全年一般公共预算拨款安排的培训费决算年初预算0.26万元，支出决算16.19万元，完成年初预算的6226.92%，比上年增加6.45万元，增长66.22%，原因是本级支文化惠民活动、三支队伍培训费。2021年度全年组织培训2个，组织培训145人次。主要为培训文艺队伍负责人、文化带头人、能人艺人、两馆业务人员、乡镇文化站文化员的群众文艺理论、业务务实、摄影、网络上传操作等、执法队无变化、图书馆疫情期间培训活动减少、文化馆当年下乡广场舞培训。</w:t>
      </w:r>
    </w:p>
    <w:tbl>
      <w:tblPr>
        <w:tblStyle w:val="6"/>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0.26</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16.19</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9.74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6.45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6226.92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66.22</w:t>
            </w:r>
          </w:p>
        </w:tc>
      </w:tr>
    </w:tbl>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2、会议费：</w:t>
      </w:r>
      <w:r>
        <w:rPr>
          <w:rFonts w:hint="eastAsia" w:cs="仿宋_GB2312" w:asciiTheme="majorEastAsia" w:hAnsiTheme="majorEastAsia" w:eastAsiaTheme="majorEastAsia"/>
          <w:kern w:val="2"/>
          <w:sz w:val="32"/>
          <w:szCs w:val="32"/>
        </w:rPr>
        <w:t>全年一般公共预算拨款安排的会议费年初预算0.2万元，支出决算0.1万元，完成年初预算的50%，比上年增加-5.17万元，增长-99.81%，原因是疫情影响当年采用线上会议。2021年度全年召开会议1个，参加会议50人次。主要为召开文化员广场舞比赛工作安排。</w:t>
      </w:r>
    </w:p>
    <w:tbl>
      <w:tblPr>
        <w:tblStyle w:val="6"/>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决算数（万元）</w:t>
            </w:r>
          </w:p>
        </w:tc>
        <w:tc>
          <w:tcPr>
            <w:tcW w:w="1418" w:type="dxa"/>
            <w:tcBorders>
              <w:top w:val="single" w:color="auto" w:sz="4" w:space="0"/>
              <w:left w:val="nil"/>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b/>
                <w:bCs/>
                <w:color w:val="000000"/>
              </w:rPr>
            </w:pPr>
            <w:r>
              <w:rPr>
                <w:rFonts w:hint="eastAsia" w:cs="宋体" w:asciiTheme="majorEastAsia" w:hAnsiTheme="majorEastAsia" w:eastAsiaTheme="majorEastAsia"/>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0.20</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0.10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5.18</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-5.17</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50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ajorEastAsia" w:hAnsiTheme="majorEastAsia" w:eastAsiaTheme="majorEastAsia"/>
                <w:color w:val="000000"/>
              </w:rPr>
            </w:pPr>
            <w:r>
              <w:rPr>
                <w:rFonts w:hint="eastAsia" w:cs="宋体" w:asciiTheme="majorEastAsia" w:hAnsiTheme="majorEastAsia" w:eastAsiaTheme="majorEastAsia"/>
                <w:color w:val="000000"/>
              </w:rPr>
              <w:t>-99.81</w:t>
            </w:r>
          </w:p>
        </w:tc>
      </w:tr>
    </w:tbl>
    <w:p>
      <w:pPr>
        <w:shd w:val="clear" w:color="auto" w:fill="FFFFFF"/>
        <w:adjustRightInd/>
        <w:snapToGrid/>
        <w:spacing w:after="0" w:line="520" w:lineRule="exac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3、其他需要说明的事项</w:t>
      </w:r>
    </w:p>
    <w:p>
      <w:pPr>
        <w:spacing w:line="220" w:lineRule="atLeast"/>
        <w:ind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我单位无其他需要说明的事项。</w:t>
      </w:r>
    </w:p>
    <w:p>
      <w:pPr>
        <w:shd w:val="clear" w:color="auto" w:fill="FFFFFF"/>
        <w:adjustRightInd/>
        <w:snapToGrid/>
        <w:spacing w:after="0" w:line="520" w:lineRule="exact"/>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第四部分 名词解释</w:t>
      </w:r>
    </w:p>
    <w:p>
      <w:pPr>
        <w:shd w:val="clear" w:color="auto" w:fill="FFFFFF"/>
        <w:adjustRightInd/>
        <w:snapToGrid/>
        <w:spacing w:after="0" w:line="520" w:lineRule="exact"/>
        <w:ind w:firstLine="640"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kern w:val="2"/>
          <w:sz w:val="32"/>
          <w:szCs w:val="32"/>
        </w:rPr>
        <w:t>部门应当按照部门预算管理要求，对本部门涉及的专业名词进行解释。</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一、财政拨款收入：</w:t>
      </w:r>
      <w:r>
        <w:rPr>
          <w:rFonts w:hint="eastAsia" w:cs="仿宋_GB2312" w:asciiTheme="majorEastAsia" w:hAnsiTheme="majorEastAsia" w:eastAsiaTheme="majorEastAsia"/>
          <w:kern w:val="2"/>
          <w:sz w:val="32"/>
          <w:szCs w:val="32"/>
        </w:rPr>
        <w:t>指单位从同级财政部门取得的财政预算资金。</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二、事业收入：</w:t>
      </w:r>
      <w:r>
        <w:rPr>
          <w:rFonts w:hint="eastAsia" w:cs="仿宋_GB2312" w:asciiTheme="majorEastAsia" w:hAnsiTheme="majorEastAsia" w:eastAsiaTheme="majorEastAsia"/>
          <w:kern w:val="2"/>
          <w:sz w:val="32"/>
          <w:szCs w:val="32"/>
        </w:rPr>
        <w:t>指事业单位开展专业业务活动及辅助活动取得的收入。</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三、经营收入：</w:t>
      </w:r>
      <w:r>
        <w:rPr>
          <w:rFonts w:hint="eastAsia" w:cs="仿宋_GB2312" w:asciiTheme="majorEastAsia" w:hAnsiTheme="majorEastAsia" w:eastAsiaTheme="majorEastAsia"/>
          <w:kern w:val="2"/>
          <w:sz w:val="32"/>
          <w:szCs w:val="32"/>
        </w:rPr>
        <w:t>指事业单位在专业业务活动及其辅助活动之外开展非独立核算经营活动取得的收入。</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四、其他收入：</w:t>
      </w:r>
      <w:r>
        <w:rPr>
          <w:rFonts w:hint="eastAsia" w:cs="仿宋_GB2312" w:asciiTheme="majorEastAsia" w:hAnsiTheme="majorEastAsia" w:eastAsiaTheme="majorEastAsia"/>
          <w:kern w:val="2"/>
          <w:sz w:val="32"/>
          <w:szCs w:val="32"/>
        </w:rPr>
        <w:t>指单位取得的除上述收入以外的各项收入。主要是事业单位固定资产出租收入、存款利息收入等。</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五、使用非财政拨款结余：</w:t>
      </w:r>
      <w:r>
        <w:rPr>
          <w:rFonts w:hint="eastAsia" w:cs="仿宋_GB2312" w:asciiTheme="majorEastAsia" w:hAnsiTheme="majorEastAsia" w:eastAsiaTheme="majorEastAsia"/>
          <w:kern w:val="2"/>
          <w:sz w:val="32"/>
          <w:szCs w:val="32"/>
        </w:rPr>
        <w:t>指事业单位使用以前年度积累的非财政拨款结余弥补当年收支差额的金额。</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六、年初结转和结余：</w:t>
      </w:r>
      <w:r>
        <w:rPr>
          <w:rFonts w:hint="eastAsia" w:cs="仿宋_GB2312" w:asciiTheme="majorEastAsia" w:hAnsiTheme="majorEastAsia" w:eastAsiaTheme="majorEastAsia"/>
          <w:kern w:val="2"/>
          <w:sz w:val="32"/>
          <w:szCs w:val="32"/>
        </w:rPr>
        <w:t>指单位以前年度尚未完成、结转到本年仍按原规定用途继续使用的资金，或项目已完成等产生的结余资金。</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七、结余分配：</w:t>
      </w:r>
      <w:r>
        <w:rPr>
          <w:rFonts w:hint="eastAsia" w:cs="仿宋_GB2312" w:asciiTheme="majorEastAsia" w:hAnsiTheme="majorEastAsia" w:eastAsiaTheme="majorEastAsia"/>
          <w:kern w:val="2"/>
          <w:sz w:val="32"/>
          <w:szCs w:val="32"/>
        </w:rPr>
        <w:t>指事业单位按照会计制度规定缴纳的所得税、提取的专用结余以及转入非财政拨款结余的金额等。</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八、年末结转和结余：</w:t>
      </w:r>
      <w:r>
        <w:rPr>
          <w:rFonts w:hint="eastAsia" w:cs="仿宋_GB2312" w:asciiTheme="majorEastAsia" w:hAnsiTheme="majorEastAsia" w:eastAsiaTheme="majorEastAsia"/>
          <w:kern w:val="2"/>
          <w:sz w:val="32"/>
          <w:szCs w:val="32"/>
        </w:rPr>
        <w:t>指单位按有关规定结转到下年或以后年度继续使用的资金，或项目已完成等产生的结余资金。</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九、基本支出：</w:t>
      </w:r>
      <w:r>
        <w:rPr>
          <w:rFonts w:hint="eastAsia" w:cs="仿宋_GB2312" w:asciiTheme="majorEastAsia" w:hAnsiTheme="majorEastAsia" w:eastAsiaTheme="majorEastAsia"/>
          <w:kern w:val="2"/>
          <w:sz w:val="32"/>
          <w:szCs w:val="32"/>
        </w:rPr>
        <w:t>指为保障机构正常运转、完成日常工作任务而发生的人员支出和公用支出。</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十、项目支出：</w:t>
      </w:r>
      <w:r>
        <w:rPr>
          <w:rFonts w:hint="eastAsia" w:cs="仿宋_GB2312" w:asciiTheme="majorEastAsia" w:hAnsiTheme="majorEastAsia" w:eastAsiaTheme="majorEastAsia"/>
          <w:kern w:val="2"/>
          <w:sz w:val="32"/>
          <w:szCs w:val="32"/>
        </w:rPr>
        <w:t>指在基本支出之外为完成特定行政任务和事业发展目标所发生的支出。</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十一、“三公”经费：</w:t>
      </w:r>
      <w:r>
        <w:rPr>
          <w:rFonts w:hint="eastAsia" w:cs="仿宋_GB2312" w:asciiTheme="majorEastAsia" w:hAnsiTheme="majorEastAsia" w:eastAsiaTheme="majorEastAsia"/>
          <w:kern w:val="2"/>
          <w:sz w:val="32"/>
          <w:szCs w:val="32"/>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十二、机关运行经费：</w:t>
      </w:r>
      <w:r>
        <w:rPr>
          <w:rFonts w:hint="eastAsia" w:cs="仿宋_GB2312" w:asciiTheme="majorEastAsia" w:hAnsiTheme="majorEastAsia" w:eastAsiaTheme="majorEastAsia"/>
          <w:kern w:val="2"/>
          <w:sz w:val="32"/>
          <w:szCs w:val="32"/>
        </w:rPr>
        <w:t>指行政单位和参照公务员法管理的事业单位使用一般公共预算安排的基本支出中的日常公用经费支出。</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十三、政府购买服务：</w:t>
      </w:r>
      <w:r>
        <w:rPr>
          <w:rFonts w:hint="eastAsia" w:cs="仿宋_GB2312" w:asciiTheme="majorEastAsia" w:hAnsiTheme="majorEastAsia" w:eastAsiaTheme="majorEastAsia"/>
          <w:kern w:val="2"/>
          <w:sz w:val="32"/>
          <w:szCs w:val="32"/>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十四、人员经费：</w:t>
      </w:r>
      <w:r>
        <w:rPr>
          <w:rFonts w:hint="eastAsia" w:cs="仿宋_GB2312" w:asciiTheme="majorEastAsia" w:hAnsiTheme="majorEastAsia" w:eastAsiaTheme="majorEastAsia"/>
          <w:kern w:val="2"/>
          <w:sz w:val="32"/>
          <w:szCs w:val="32"/>
        </w:rPr>
        <w:t>主要包括：基本工资、津贴补贴、奖金、社会保障缴费、伙食补助费、绩效工资、其他工资福利支出、离休费、退休费、抚恤金、生活补助、医疗费、奖励金、住房公积金、提租补贴、其他对个人和家庭的补助支出。</w:t>
      </w:r>
    </w:p>
    <w:p>
      <w:pPr>
        <w:shd w:val="clear" w:color="auto" w:fill="FFFFFF"/>
        <w:adjustRightInd/>
        <w:snapToGrid/>
        <w:spacing w:after="0" w:line="520" w:lineRule="exact"/>
        <w:ind w:firstLine="643" w:firstLineChars="200"/>
        <w:rPr>
          <w:rFonts w:cs="仿宋_GB2312" w:asciiTheme="majorEastAsia" w:hAnsiTheme="majorEastAsia" w:eastAsiaTheme="majorEastAsia"/>
          <w:kern w:val="2"/>
          <w:sz w:val="32"/>
          <w:szCs w:val="32"/>
        </w:rPr>
      </w:pPr>
      <w:r>
        <w:rPr>
          <w:rFonts w:hint="eastAsia" w:cs="仿宋_GB2312" w:asciiTheme="majorEastAsia" w:hAnsiTheme="majorEastAsia" w:eastAsiaTheme="majorEastAsia"/>
          <w:b/>
          <w:bCs/>
          <w:kern w:val="2"/>
          <w:sz w:val="32"/>
          <w:szCs w:val="32"/>
        </w:rPr>
        <w:t>十五、公用经费：</w:t>
      </w:r>
      <w:r>
        <w:rPr>
          <w:rFonts w:hint="eastAsia" w:cs="仿宋_GB2312" w:asciiTheme="majorEastAsia" w:hAnsiTheme="majorEastAsia" w:eastAsiaTheme="majorEastAsia"/>
          <w:kern w:val="2"/>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hd w:val="clear" w:color="auto" w:fill="FFFFFF"/>
        <w:adjustRightInd/>
        <w:snapToGrid/>
        <w:spacing w:after="0" w:line="520" w:lineRule="exact"/>
        <w:rPr>
          <w:rFonts w:asciiTheme="majorEastAsia" w:hAnsiTheme="majorEastAsia" w:eastAsiaTheme="majorEastAsia"/>
          <w:b/>
          <w:kern w:val="2"/>
          <w:sz w:val="32"/>
          <w:szCs w:val="32"/>
        </w:rPr>
      </w:pPr>
      <w:r>
        <w:rPr>
          <w:rFonts w:hint="eastAsia" w:asciiTheme="majorEastAsia" w:hAnsiTheme="majorEastAsia" w:eastAsiaTheme="majorEastAsia"/>
          <w:b/>
          <w:kern w:val="2"/>
          <w:sz w:val="32"/>
          <w:szCs w:val="32"/>
        </w:rPr>
        <w:t>第五部分 附件</w:t>
      </w:r>
    </w:p>
    <w:p>
      <w:pPr>
        <w:spacing w:line="220" w:lineRule="atLeast"/>
        <w:rPr>
          <w:rFonts w:asciiTheme="majorEastAsia" w:hAnsiTheme="majorEastAsia" w:eastAsiaTheme="majorEastAsia"/>
          <w:b/>
          <w:sz w:val="28"/>
          <w:szCs w:val="28"/>
        </w:rPr>
      </w:pPr>
      <w:r>
        <w:rPr>
          <w:rFonts w:hint="eastAsia" w:asciiTheme="majorEastAsia" w:hAnsiTheme="majorEastAsia" w:eastAsiaTheme="majorEastAsia"/>
          <w:sz w:val="28"/>
          <w:szCs w:val="28"/>
        </w:rPr>
        <w:t xml:space="preserve">      </w:t>
      </w:r>
      <w:r>
        <w:rPr>
          <w:rFonts w:hint="eastAsia" w:cs="仿宋_GB2312" w:asciiTheme="majorEastAsia" w:hAnsiTheme="majorEastAsia" w:eastAsiaTheme="majorEastAsia"/>
          <w:kern w:val="2"/>
          <w:sz w:val="32"/>
          <w:szCs w:val="32"/>
        </w:rPr>
        <w:t xml:space="preserve"> 我部门2021年度没有其他需要说明的事项。</w:t>
      </w: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2ACBB"/>
    <w:multiLevelType w:val="singleLevel"/>
    <w:tmpl w:val="3702AC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TkzYTgwYzY3MzQ5YTNmNzJiYjViODU1MjY5N2I0NzY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27FB"/>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531CB"/>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C699E"/>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17B1210"/>
    <w:rsid w:val="02E0558A"/>
    <w:rsid w:val="04F00B6B"/>
    <w:rsid w:val="05CD247D"/>
    <w:rsid w:val="0A2875AD"/>
    <w:rsid w:val="0ADD7BD9"/>
    <w:rsid w:val="0AFA2CF6"/>
    <w:rsid w:val="0D3510CD"/>
    <w:rsid w:val="1122175B"/>
    <w:rsid w:val="141A5BF4"/>
    <w:rsid w:val="24B6778D"/>
    <w:rsid w:val="25CC2328"/>
    <w:rsid w:val="267E3EBA"/>
    <w:rsid w:val="28923018"/>
    <w:rsid w:val="29562435"/>
    <w:rsid w:val="2C042E5D"/>
    <w:rsid w:val="2F5301A4"/>
    <w:rsid w:val="30E00BF7"/>
    <w:rsid w:val="33D61C3F"/>
    <w:rsid w:val="37A95A38"/>
    <w:rsid w:val="42E0174F"/>
    <w:rsid w:val="43D41885"/>
    <w:rsid w:val="477059A6"/>
    <w:rsid w:val="47A924A1"/>
    <w:rsid w:val="4B640213"/>
    <w:rsid w:val="4C840E38"/>
    <w:rsid w:val="4F796A03"/>
    <w:rsid w:val="505172DB"/>
    <w:rsid w:val="56584C40"/>
    <w:rsid w:val="5BED4F45"/>
    <w:rsid w:val="5DF51191"/>
    <w:rsid w:val="5EB50F66"/>
    <w:rsid w:val="6247159F"/>
    <w:rsid w:val="6269164E"/>
    <w:rsid w:val="69BB5CE7"/>
    <w:rsid w:val="6A810588"/>
    <w:rsid w:val="6B492C4C"/>
    <w:rsid w:val="70267F0E"/>
    <w:rsid w:val="72F1298D"/>
    <w:rsid w:val="754867A7"/>
    <w:rsid w:val="76F6361D"/>
    <w:rsid w:val="77720E0F"/>
    <w:rsid w:val="78287E6C"/>
    <w:rsid w:val="7FFA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qFormat/>
    <w:uiPriority w:val="0"/>
    <w:pPr>
      <w:keepNext/>
      <w:keepLines/>
      <w:widowControl w:val="0"/>
      <w:spacing w:line="415" w:lineRule="auto"/>
      <w:outlineLvl w:val="1"/>
    </w:pPr>
    <w:rPr>
      <w:rFonts w:ascii="Cambria" w:hAnsi="Cambria" w:cs="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Body Text First Indent 2"/>
    <w:basedOn w:val="1"/>
    <w:qFormat/>
    <w:uiPriority w:val="0"/>
    <w:pPr>
      <w:tabs>
        <w:tab w:val="left" w:pos="7920"/>
      </w:tabs>
      <w:ind w:firstLine="200" w:firstLineChars="200"/>
    </w:pPr>
  </w:style>
  <w:style w:type="character" w:customStyle="1" w:styleId="8">
    <w:name w:val="页眉 Char"/>
    <w:basedOn w:val="7"/>
    <w:link w:val="4"/>
    <w:semiHidden/>
    <w:qFormat/>
    <w:uiPriority w:val="99"/>
    <w:rPr>
      <w:rFonts w:ascii="Tahoma" w:hAnsi="Tahoma"/>
      <w:sz w:val="18"/>
      <w:szCs w:val="18"/>
    </w:rPr>
  </w:style>
  <w:style w:type="character" w:customStyle="1" w:styleId="9">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BDEBBA-6C24-440F-B8DF-3651213ECD5F}">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6512</Words>
  <Characters>7358</Characters>
  <Lines>56</Lines>
  <Paragraphs>16</Paragraphs>
  <TotalTime>10</TotalTime>
  <ScaleCrop>false</ScaleCrop>
  <LinksUpToDate>false</LinksUpToDate>
  <CharactersWithSpaces>7432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2023-05-12T02:39:54Z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110471F16DD540A18E79660B9644FA19_12</vt:lpwstr>
  </property>
</Properties>
</file>