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color w:val="00B0F0"/>
        </w:rPr>
      </w:pPr>
      <w:r>
        <w:rPr>
          <w:rFonts w:hint="eastAsia"/>
          <w:color w:val="00B0F0"/>
        </w:rPr>
        <w:t>附件</w:t>
      </w:r>
    </w:p>
    <w:p>
      <w:pPr>
        <w:snapToGrid/>
        <w:jc w:val="center"/>
        <w:rPr>
          <w:rFonts w:hint="eastAsia" w:ascii="宋体" w:hAnsi="宋体" w:cs="宋体"/>
          <w:sz w:val="32"/>
          <w:szCs w:val="32"/>
        </w:rPr>
      </w:pPr>
      <w:r>
        <w:rPr>
          <w:rFonts w:hint="eastAsia" w:ascii="宋体" w:hAnsi="宋体" w:cs="宋体"/>
          <w:sz w:val="32"/>
          <w:szCs w:val="32"/>
        </w:rPr>
        <w:t>130平顺县西沟接待中心2021年度</w:t>
      </w:r>
      <w:r>
        <w:rPr>
          <w:rFonts w:hint="eastAsia" w:ascii="宋体" w:hAnsi="宋体" w:cs="宋体"/>
          <w:sz w:val="32"/>
          <w:szCs w:val="32"/>
          <w:lang w:eastAsia="zh-CN"/>
        </w:rPr>
        <w:t>单位</w:t>
      </w:r>
      <w:r>
        <w:rPr>
          <w:rFonts w:hint="eastAsia" w:ascii="宋体" w:hAnsi="宋体" w:cs="宋体"/>
          <w:sz w:val="32"/>
          <w:szCs w:val="32"/>
        </w:rPr>
        <w:t>决算公开</w:t>
      </w:r>
    </w:p>
    <w:p>
      <w:pPr>
        <w:snapToGrid/>
        <w:jc w:val="center"/>
        <w:rPr>
          <w:rFonts w:hint="eastAsia" w:ascii="宋体" w:hAnsi="宋体" w:cs="宋体"/>
          <w:sz w:val="32"/>
          <w:szCs w:val="32"/>
        </w:rPr>
      </w:pPr>
      <w:r>
        <w:rPr>
          <w:rFonts w:hint="eastAsia" w:ascii="宋体" w:hAnsi="宋体" w:cs="宋体"/>
          <w:sz w:val="32"/>
          <w:szCs w:val="32"/>
        </w:rPr>
        <w:t>目      录</w:t>
      </w:r>
    </w:p>
    <w:p>
      <w:pPr>
        <w:snapToGrid/>
        <w:rPr>
          <w:rFonts w:ascii="宋体" w:hAnsi="宋体" w:cs="宋体"/>
          <w:b/>
          <w:bCs/>
          <w:sz w:val="30"/>
          <w:szCs w:val="30"/>
        </w:rPr>
      </w:pPr>
      <w:r>
        <w:rPr>
          <w:rFonts w:hint="eastAsia" w:ascii="宋体" w:hAnsi="宋体" w:cs="宋体"/>
          <w:b/>
          <w:bCs/>
          <w:sz w:val="30"/>
          <w:szCs w:val="30"/>
        </w:rPr>
        <w:t>第一部分 概况</w:t>
      </w:r>
    </w:p>
    <w:p>
      <w:pPr>
        <w:snapToGrid/>
        <w:rPr>
          <w:rFonts w:ascii="宋体" w:hAnsi="宋体" w:cs="宋体"/>
          <w:sz w:val="30"/>
          <w:szCs w:val="30"/>
        </w:rPr>
      </w:pPr>
      <w:r>
        <w:rPr>
          <w:rFonts w:hint="eastAsia" w:ascii="宋体" w:hAnsi="宋体" w:cs="宋体"/>
          <w:sz w:val="30"/>
          <w:szCs w:val="30"/>
        </w:rPr>
        <w:t>一、本</w:t>
      </w:r>
      <w:r>
        <w:rPr>
          <w:rFonts w:hint="eastAsia" w:ascii="宋体" w:hAnsi="宋体" w:cs="宋体"/>
          <w:sz w:val="30"/>
          <w:szCs w:val="30"/>
          <w:lang w:eastAsia="zh-CN"/>
        </w:rPr>
        <w:t>单位</w:t>
      </w:r>
      <w:r>
        <w:rPr>
          <w:rFonts w:hint="eastAsia" w:ascii="宋体" w:hAnsi="宋体" w:cs="宋体"/>
          <w:sz w:val="30"/>
          <w:szCs w:val="30"/>
        </w:rPr>
        <w:t>职责</w:t>
      </w:r>
    </w:p>
    <w:p>
      <w:pPr>
        <w:snapToGrid/>
        <w:rPr>
          <w:rFonts w:ascii="宋体" w:hAnsi="宋体" w:cs="宋体"/>
          <w:sz w:val="30"/>
          <w:szCs w:val="30"/>
        </w:rPr>
      </w:pPr>
      <w:r>
        <w:rPr>
          <w:rFonts w:hint="eastAsia" w:ascii="宋体" w:hAnsi="宋体" w:cs="宋体"/>
          <w:sz w:val="30"/>
          <w:szCs w:val="30"/>
        </w:rPr>
        <w:t>二、机构设置情况</w:t>
      </w:r>
    </w:p>
    <w:p>
      <w:pPr>
        <w:snapToGrid/>
        <w:rPr>
          <w:rFonts w:ascii="宋体" w:hAnsi="宋体" w:cs="宋体"/>
          <w:sz w:val="30"/>
          <w:szCs w:val="30"/>
        </w:rPr>
      </w:pPr>
      <w:r>
        <w:rPr>
          <w:rFonts w:hint="eastAsia" w:ascii="宋体" w:hAnsi="宋体" w:cs="宋体"/>
          <w:sz w:val="30"/>
          <w:szCs w:val="30"/>
        </w:rPr>
        <w:t>三、年度工作计划及执行情况</w:t>
      </w:r>
    </w:p>
    <w:p>
      <w:pPr>
        <w:snapToGrid/>
        <w:rPr>
          <w:rFonts w:ascii="宋体" w:hAnsi="宋体" w:cs="宋体"/>
          <w:b/>
          <w:bCs/>
          <w:sz w:val="30"/>
          <w:szCs w:val="30"/>
        </w:rPr>
      </w:pPr>
      <w:r>
        <w:rPr>
          <w:rFonts w:hint="eastAsia" w:ascii="宋体" w:hAnsi="宋体" w:cs="宋体"/>
          <w:b/>
          <w:bCs/>
          <w:sz w:val="30"/>
          <w:szCs w:val="30"/>
        </w:rPr>
        <w:t>第二部分 2021年度</w:t>
      </w:r>
      <w:r>
        <w:rPr>
          <w:rFonts w:hint="eastAsia" w:ascii="宋体" w:hAnsi="宋体" w:cs="宋体"/>
          <w:b/>
          <w:bCs/>
          <w:sz w:val="30"/>
          <w:szCs w:val="30"/>
          <w:lang w:eastAsia="zh-CN"/>
        </w:rPr>
        <w:t>单位</w:t>
      </w:r>
      <w:r>
        <w:rPr>
          <w:rFonts w:hint="eastAsia" w:ascii="宋体" w:hAnsi="宋体" w:cs="宋体"/>
          <w:b/>
          <w:bCs/>
          <w:sz w:val="30"/>
          <w:szCs w:val="30"/>
        </w:rPr>
        <w:t>决算报表</w:t>
      </w:r>
    </w:p>
    <w:p>
      <w:pPr>
        <w:snapToGrid/>
        <w:rPr>
          <w:rFonts w:ascii="宋体" w:hAnsi="宋体" w:cs="宋体"/>
          <w:sz w:val="30"/>
          <w:szCs w:val="30"/>
        </w:rPr>
      </w:pPr>
      <w:r>
        <w:rPr>
          <w:rFonts w:hint="eastAsia" w:ascii="宋体" w:hAnsi="宋体" w:cs="宋体"/>
          <w:sz w:val="30"/>
          <w:szCs w:val="30"/>
        </w:rPr>
        <w:t>一、收入支出决算总表</w:t>
      </w:r>
    </w:p>
    <w:p>
      <w:pPr>
        <w:snapToGrid/>
        <w:rPr>
          <w:rFonts w:ascii="宋体" w:hAnsi="宋体" w:cs="宋体"/>
          <w:sz w:val="30"/>
          <w:szCs w:val="30"/>
        </w:rPr>
      </w:pPr>
      <w:r>
        <w:rPr>
          <w:rFonts w:hint="eastAsia" w:ascii="宋体" w:hAnsi="宋体" w:cs="宋体"/>
          <w:sz w:val="30"/>
          <w:szCs w:val="30"/>
        </w:rPr>
        <w:t>二、收入决算表</w:t>
      </w:r>
    </w:p>
    <w:p>
      <w:pPr>
        <w:snapToGrid/>
        <w:rPr>
          <w:rFonts w:ascii="宋体" w:hAnsi="宋体" w:cs="宋体"/>
          <w:sz w:val="30"/>
          <w:szCs w:val="30"/>
        </w:rPr>
      </w:pPr>
      <w:r>
        <w:rPr>
          <w:rFonts w:hint="eastAsia" w:ascii="宋体" w:hAnsi="宋体" w:cs="宋体"/>
          <w:sz w:val="30"/>
          <w:szCs w:val="30"/>
        </w:rPr>
        <w:t>三、支出决算表</w:t>
      </w:r>
    </w:p>
    <w:p>
      <w:pPr>
        <w:snapToGrid/>
        <w:rPr>
          <w:rFonts w:ascii="宋体" w:hAnsi="宋体" w:cs="宋体"/>
          <w:sz w:val="30"/>
          <w:szCs w:val="30"/>
        </w:rPr>
      </w:pPr>
      <w:r>
        <w:rPr>
          <w:rFonts w:hint="eastAsia" w:ascii="宋体" w:hAnsi="宋体" w:cs="宋体"/>
          <w:sz w:val="30"/>
          <w:szCs w:val="30"/>
        </w:rPr>
        <w:t>四、财政拨款收入支出决算总表</w:t>
      </w:r>
    </w:p>
    <w:p>
      <w:pPr>
        <w:snapToGrid/>
        <w:rPr>
          <w:rFonts w:ascii="宋体" w:hAnsi="宋体" w:cs="宋体"/>
          <w:sz w:val="30"/>
          <w:szCs w:val="30"/>
        </w:rPr>
      </w:pPr>
      <w:r>
        <w:rPr>
          <w:rFonts w:hint="eastAsia" w:ascii="宋体" w:hAnsi="宋体" w:cs="宋体"/>
          <w:sz w:val="30"/>
          <w:szCs w:val="30"/>
        </w:rPr>
        <w:t>五、一般公共预算财政拨款支出决算表（一）</w:t>
      </w:r>
    </w:p>
    <w:p>
      <w:pPr>
        <w:snapToGrid/>
        <w:rPr>
          <w:rFonts w:ascii="宋体" w:hAnsi="宋体" w:cs="宋体"/>
          <w:sz w:val="30"/>
          <w:szCs w:val="30"/>
        </w:rPr>
      </w:pPr>
      <w:r>
        <w:rPr>
          <w:rFonts w:hint="eastAsia" w:ascii="宋体" w:hAnsi="宋体" w:cs="宋体"/>
          <w:sz w:val="30"/>
          <w:szCs w:val="30"/>
        </w:rPr>
        <w:t>六、一般公共预算财政拨款支出决算表（二）</w:t>
      </w:r>
    </w:p>
    <w:p>
      <w:pPr>
        <w:snapToGrid/>
        <w:rPr>
          <w:rFonts w:ascii="宋体" w:hAnsi="宋体" w:cs="宋体"/>
          <w:sz w:val="30"/>
          <w:szCs w:val="30"/>
        </w:rPr>
      </w:pPr>
      <w:r>
        <w:rPr>
          <w:rFonts w:hint="eastAsia" w:ascii="宋体" w:hAnsi="宋体" w:cs="宋体"/>
          <w:sz w:val="30"/>
          <w:szCs w:val="30"/>
        </w:rPr>
        <w:t>七、一般公共预算财政拨款“三公”经费支出决算表</w:t>
      </w:r>
    </w:p>
    <w:p>
      <w:pPr>
        <w:snapToGrid/>
        <w:rPr>
          <w:rFonts w:ascii="宋体" w:hAnsi="宋体" w:cs="宋体"/>
          <w:sz w:val="30"/>
          <w:szCs w:val="30"/>
        </w:rPr>
      </w:pPr>
      <w:r>
        <w:rPr>
          <w:rFonts w:hint="eastAsia" w:ascii="宋体" w:hAnsi="宋体" w:cs="宋体"/>
          <w:sz w:val="30"/>
          <w:szCs w:val="30"/>
        </w:rPr>
        <w:t>八、政府性基金预算财政拨款收入支出决算表</w:t>
      </w:r>
    </w:p>
    <w:p>
      <w:pPr>
        <w:snapToGrid/>
        <w:rPr>
          <w:rFonts w:ascii="宋体" w:hAnsi="宋体" w:cs="宋体"/>
          <w:sz w:val="30"/>
          <w:szCs w:val="30"/>
        </w:rPr>
      </w:pPr>
      <w:r>
        <w:rPr>
          <w:rFonts w:hint="eastAsia" w:ascii="宋体" w:hAnsi="宋体" w:cs="宋体"/>
          <w:sz w:val="30"/>
          <w:szCs w:val="30"/>
        </w:rPr>
        <w:t>九、国有资本经营预算财政拨款支出决算表</w:t>
      </w:r>
    </w:p>
    <w:p>
      <w:pPr>
        <w:snapToGrid/>
        <w:rPr>
          <w:rFonts w:hint="eastAsia" w:ascii="宋体" w:hAnsi="宋体" w:cs="宋体"/>
          <w:sz w:val="30"/>
          <w:szCs w:val="30"/>
        </w:rPr>
      </w:pPr>
      <w:r>
        <w:rPr>
          <w:rFonts w:hint="eastAsia" w:ascii="宋体" w:hAnsi="宋体" w:cs="宋体"/>
          <w:sz w:val="30"/>
          <w:szCs w:val="30"/>
        </w:rPr>
        <w:t>十、</w:t>
      </w:r>
      <w:r>
        <w:rPr>
          <w:rFonts w:hint="eastAsia" w:ascii="宋体" w:hAnsi="宋体" w:cs="宋体"/>
          <w:sz w:val="30"/>
          <w:szCs w:val="30"/>
          <w:lang w:eastAsia="zh-CN"/>
        </w:rPr>
        <w:t>单位</w:t>
      </w:r>
      <w:r>
        <w:rPr>
          <w:rFonts w:hint="eastAsia" w:ascii="宋体" w:hAnsi="宋体" w:cs="宋体"/>
          <w:sz w:val="30"/>
          <w:szCs w:val="30"/>
        </w:rPr>
        <w:t>决算公开相关信息统计表</w:t>
      </w:r>
    </w:p>
    <w:p>
      <w:pPr>
        <w:snapToGrid/>
        <w:rPr>
          <w:rFonts w:hint="eastAsia" w:ascii="宋体" w:hAnsi="宋体" w:eastAsia="微软雅黑" w:cs="宋体"/>
          <w:sz w:val="30"/>
          <w:szCs w:val="30"/>
          <w:lang w:val="en-US" w:eastAsia="zh-CN"/>
        </w:rPr>
      </w:pPr>
      <w:r>
        <w:rPr>
          <w:rFonts w:hint="eastAsia" w:ascii="宋体" w:hAnsi="宋体" w:cs="宋体"/>
          <w:sz w:val="30"/>
          <w:szCs w:val="30"/>
          <w:lang w:val="en-US" w:eastAsia="zh-CN"/>
        </w:rPr>
        <w:t xml:space="preserve">    (注：我单位没有使用</w:t>
      </w:r>
      <w:r>
        <w:rPr>
          <w:rFonts w:hint="eastAsia" w:ascii="宋体" w:hAnsi="宋体" w:cs="宋体"/>
          <w:sz w:val="30"/>
          <w:szCs w:val="30"/>
        </w:rPr>
        <w:t>政府性基金预算财政拨款收入支出</w:t>
      </w:r>
      <w:r>
        <w:rPr>
          <w:rFonts w:hint="eastAsia" w:ascii="宋体" w:hAnsi="宋体" w:cs="宋体"/>
          <w:sz w:val="30"/>
          <w:szCs w:val="30"/>
          <w:lang w:eastAsia="zh-CN"/>
        </w:rPr>
        <w:t>和</w:t>
      </w:r>
      <w:r>
        <w:rPr>
          <w:rFonts w:hint="eastAsia" w:ascii="宋体" w:hAnsi="宋体" w:cs="宋体"/>
          <w:sz w:val="30"/>
          <w:szCs w:val="30"/>
        </w:rPr>
        <w:t>国有资本经营预算财政拨款支出</w:t>
      </w:r>
      <w:r>
        <w:rPr>
          <w:rFonts w:hint="eastAsia" w:ascii="宋体" w:hAnsi="宋体" w:cs="宋体"/>
          <w:sz w:val="30"/>
          <w:szCs w:val="30"/>
          <w:lang w:eastAsia="zh-CN"/>
        </w:rPr>
        <w:t>，故无数据。）</w:t>
      </w:r>
    </w:p>
    <w:p>
      <w:pPr>
        <w:snapToGrid/>
        <w:rPr>
          <w:rFonts w:ascii="宋体" w:hAnsi="宋体" w:cs="宋体"/>
          <w:b/>
          <w:bCs/>
          <w:sz w:val="30"/>
          <w:szCs w:val="30"/>
        </w:rPr>
      </w:pPr>
      <w:r>
        <w:rPr>
          <w:rFonts w:hint="eastAsia" w:ascii="宋体" w:hAnsi="宋体" w:cs="宋体"/>
          <w:b/>
          <w:bCs/>
          <w:sz w:val="30"/>
          <w:szCs w:val="30"/>
        </w:rPr>
        <w:t>第三部分 2021年度</w:t>
      </w:r>
      <w:r>
        <w:rPr>
          <w:rFonts w:hint="eastAsia" w:ascii="宋体" w:hAnsi="宋体" w:cs="宋体"/>
          <w:b/>
          <w:bCs/>
          <w:sz w:val="30"/>
          <w:szCs w:val="30"/>
          <w:lang w:eastAsia="zh-CN"/>
        </w:rPr>
        <w:t>单位</w:t>
      </w:r>
      <w:r>
        <w:rPr>
          <w:rFonts w:hint="eastAsia" w:ascii="宋体" w:hAnsi="宋体" w:cs="宋体"/>
          <w:b/>
          <w:bCs/>
          <w:sz w:val="30"/>
          <w:szCs w:val="30"/>
        </w:rPr>
        <w:t>决算情况说明</w:t>
      </w:r>
    </w:p>
    <w:p>
      <w:pPr>
        <w:snapToGrid/>
        <w:rPr>
          <w:rFonts w:ascii="宋体" w:hAnsi="宋体" w:cs="宋体"/>
          <w:sz w:val="30"/>
          <w:szCs w:val="30"/>
        </w:rPr>
      </w:pPr>
      <w:r>
        <w:rPr>
          <w:rFonts w:hint="eastAsia" w:ascii="宋体" w:hAnsi="宋体" w:cs="宋体"/>
          <w:sz w:val="30"/>
          <w:szCs w:val="30"/>
        </w:rPr>
        <w:t>一、收入支出决算总体情况说明</w:t>
      </w:r>
    </w:p>
    <w:p>
      <w:pPr>
        <w:snapToGrid/>
        <w:rPr>
          <w:rFonts w:ascii="宋体" w:hAnsi="宋体" w:cs="宋体"/>
          <w:sz w:val="30"/>
          <w:szCs w:val="30"/>
        </w:rPr>
      </w:pPr>
      <w:r>
        <w:rPr>
          <w:rFonts w:hint="eastAsia" w:ascii="宋体" w:hAnsi="宋体" w:cs="宋体"/>
          <w:sz w:val="30"/>
          <w:szCs w:val="30"/>
        </w:rPr>
        <w:t>二、收入决算情况说明</w:t>
      </w:r>
    </w:p>
    <w:p>
      <w:pPr>
        <w:snapToGrid/>
        <w:rPr>
          <w:rFonts w:ascii="宋体" w:hAnsi="宋体" w:cs="宋体"/>
          <w:sz w:val="30"/>
          <w:szCs w:val="30"/>
        </w:rPr>
      </w:pPr>
      <w:r>
        <w:rPr>
          <w:rFonts w:hint="eastAsia" w:ascii="宋体" w:hAnsi="宋体" w:cs="宋体"/>
          <w:sz w:val="30"/>
          <w:szCs w:val="30"/>
        </w:rPr>
        <w:t>三、支出决算情况说明</w:t>
      </w:r>
    </w:p>
    <w:p>
      <w:pPr>
        <w:snapToGrid/>
        <w:rPr>
          <w:rFonts w:ascii="宋体" w:hAnsi="宋体" w:cs="宋体"/>
          <w:sz w:val="30"/>
          <w:szCs w:val="30"/>
        </w:rPr>
      </w:pPr>
      <w:r>
        <w:rPr>
          <w:rFonts w:hint="eastAsia" w:ascii="宋体" w:hAnsi="宋体" w:cs="宋体"/>
          <w:sz w:val="30"/>
          <w:szCs w:val="30"/>
        </w:rPr>
        <w:t>四、财政拨款收入支出决算总体情况说明</w:t>
      </w:r>
    </w:p>
    <w:p>
      <w:pPr>
        <w:snapToGrid/>
        <w:rPr>
          <w:rFonts w:ascii="宋体" w:hAnsi="宋体" w:cs="宋体"/>
          <w:sz w:val="30"/>
          <w:szCs w:val="30"/>
        </w:rPr>
      </w:pPr>
      <w:r>
        <w:rPr>
          <w:rFonts w:hint="eastAsia" w:ascii="宋体" w:hAnsi="宋体" w:cs="宋体"/>
          <w:sz w:val="30"/>
          <w:szCs w:val="30"/>
        </w:rPr>
        <w:t>五、一般公共预算财政拨款支出决算情况说明</w:t>
      </w:r>
    </w:p>
    <w:p>
      <w:pPr>
        <w:snapToGrid/>
        <w:rPr>
          <w:rFonts w:ascii="宋体" w:hAnsi="宋体" w:cs="宋体"/>
          <w:sz w:val="30"/>
          <w:szCs w:val="30"/>
        </w:rPr>
      </w:pPr>
      <w:r>
        <w:rPr>
          <w:rFonts w:hint="eastAsia" w:ascii="宋体" w:hAnsi="宋体" w:cs="宋体"/>
          <w:sz w:val="30"/>
          <w:szCs w:val="30"/>
        </w:rPr>
        <w:t>六、一般公“共预算财政拨款基本支出决算情况说明</w:t>
      </w:r>
    </w:p>
    <w:p>
      <w:pPr>
        <w:snapToGrid/>
        <w:rPr>
          <w:rFonts w:ascii="宋体" w:hAnsi="宋体" w:cs="宋体"/>
          <w:sz w:val="30"/>
          <w:szCs w:val="30"/>
        </w:rPr>
      </w:pPr>
      <w:r>
        <w:rPr>
          <w:rFonts w:hint="eastAsia" w:ascii="宋体" w:hAnsi="宋体" w:cs="宋体"/>
          <w:sz w:val="30"/>
          <w:szCs w:val="30"/>
        </w:rPr>
        <w:t>七、一般公共预算财政拨款三公”经费支出决算情况说明</w:t>
      </w:r>
    </w:p>
    <w:p>
      <w:pPr>
        <w:snapToGrid/>
        <w:rPr>
          <w:rFonts w:ascii="宋体" w:hAnsi="宋体" w:cs="宋体"/>
          <w:sz w:val="30"/>
          <w:szCs w:val="30"/>
        </w:rPr>
      </w:pPr>
      <w:r>
        <w:rPr>
          <w:rFonts w:hint="eastAsia" w:ascii="宋体" w:hAnsi="宋体" w:cs="宋体"/>
          <w:sz w:val="30"/>
          <w:szCs w:val="30"/>
        </w:rPr>
        <w:t>八、其他重要事项情况说明</w:t>
      </w:r>
    </w:p>
    <w:p>
      <w:pPr>
        <w:snapToGrid/>
        <w:rPr>
          <w:rFonts w:ascii="宋体" w:hAnsi="宋体" w:cs="宋体"/>
          <w:sz w:val="30"/>
          <w:szCs w:val="30"/>
        </w:rPr>
      </w:pPr>
      <w:r>
        <w:rPr>
          <w:rFonts w:hint="eastAsia" w:ascii="宋体" w:hAnsi="宋体" w:cs="宋体"/>
          <w:sz w:val="30"/>
          <w:szCs w:val="30"/>
        </w:rPr>
        <w:t>第四部分    名词解释</w:t>
      </w:r>
    </w:p>
    <w:p>
      <w:pPr>
        <w:snapToGrid/>
        <w:rPr>
          <w:rFonts w:ascii="宋体" w:hAnsi="宋体" w:cs="宋体"/>
          <w:sz w:val="30"/>
          <w:szCs w:val="30"/>
        </w:rPr>
      </w:pPr>
      <w:r>
        <w:rPr>
          <w:rFonts w:hint="eastAsia" w:ascii="宋体" w:hAnsi="宋体" w:cs="宋体"/>
          <w:sz w:val="30"/>
          <w:szCs w:val="30"/>
        </w:rPr>
        <w:t>第五部分    附件</w:t>
      </w:r>
    </w:p>
    <w:p>
      <w:pPr>
        <w:snapToGrid/>
        <w:rPr>
          <w:rFonts w:ascii="宋体" w:hAnsi="宋体" w:cs="宋体"/>
          <w:sz w:val="30"/>
          <w:szCs w:val="30"/>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r>
        <w:rPr>
          <w:rFonts w:hint="eastAsia"/>
          <w:b/>
          <w:sz w:val="28"/>
          <w:szCs w:val="28"/>
        </w:rPr>
        <w:t>第一部分概况</w:t>
      </w:r>
    </w:p>
    <w:p>
      <w:pPr>
        <w:snapToGrid/>
        <w:ind w:firstLine="600" w:firstLineChars="200"/>
        <w:rPr>
          <w:rFonts w:ascii="宋体" w:hAnsi="宋体" w:cs="宋体"/>
          <w:sz w:val="30"/>
          <w:szCs w:val="30"/>
        </w:rPr>
      </w:pPr>
      <w:r>
        <w:rPr>
          <w:rFonts w:hint="eastAsia" w:ascii="宋体" w:hAnsi="宋体" w:cs="宋体"/>
          <w:sz w:val="30"/>
          <w:szCs w:val="30"/>
        </w:rPr>
        <w:t>一、本</w:t>
      </w:r>
      <w:r>
        <w:rPr>
          <w:rFonts w:hint="eastAsia" w:ascii="宋体" w:hAnsi="宋体" w:cs="宋体"/>
          <w:sz w:val="30"/>
          <w:szCs w:val="30"/>
          <w:lang w:eastAsia="zh-CN"/>
        </w:rPr>
        <w:t>单位</w:t>
      </w:r>
      <w:r>
        <w:rPr>
          <w:rFonts w:hint="eastAsia" w:ascii="宋体" w:hAnsi="宋体" w:cs="宋体"/>
          <w:sz w:val="30"/>
          <w:szCs w:val="30"/>
        </w:rPr>
        <w:t>职责</w:t>
      </w:r>
    </w:p>
    <w:p>
      <w:pPr>
        <w:snapToGrid/>
        <w:ind w:firstLine="600" w:firstLineChars="200"/>
        <w:rPr>
          <w:rFonts w:ascii="宋体" w:hAnsi="宋体" w:cs="宋体"/>
          <w:sz w:val="30"/>
          <w:szCs w:val="30"/>
        </w:rPr>
      </w:pPr>
      <w:r>
        <w:rPr>
          <w:rFonts w:hint="eastAsia" w:ascii="宋体" w:hAnsi="宋体" w:cs="宋体"/>
          <w:sz w:val="30"/>
          <w:szCs w:val="30"/>
        </w:rPr>
        <w:t>1、坚持以习近平新时代中国特色社会主义思想为指导，发挥全国爱国主义教育示范基地作用，加强爱国主义教育和革命传统教育、培育和践行社会主义核心价值观的阵地建设。</w:t>
      </w:r>
    </w:p>
    <w:p>
      <w:pPr>
        <w:snapToGrid/>
        <w:ind w:firstLine="600" w:firstLineChars="200"/>
        <w:rPr>
          <w:rFonts w:ascii="宋体" w:hAnsi="宋体" w:cs="宋体"/>
          <w:sz w:val="30"/>
          <w:szCs w:val="30"/>
        </w:rPr>
      </w:pPr>
      <w:r>
        <w:rPr>
          <w:rFonts w:hint="eastAsia" w:ascii="宋体" w:hAnsi="宋体" w:cs="宋体"/>
          <w:sz w:val="30"/>
          <w:szCs w:val="30"/>
        </w:rPr>
        <w:t>2、负责西沟展览馆及西沟系列爱国主义教育景点的参观讲解、接待服务、维修维护、改陈布展工作。</w:t>
      </w:r>
    </w:p>
    <w:p>
      <w:pPr>
        <w:snapToGrid/>
        <w:ind w:firstLine="600" w:firstLineChars="200"/>
        <w:rPr>
          <w:rFonts w:ascii="宋体" w:hAnsi="宋体" w:cs="宋体"/>
          <w:sz w:val="30"/>
          <w:szCs w:val="30"/>
        </w:rPr>
      </w:pPr>
      <w:r>
        <w:rPr>
          <w:rFonts w:hint="eastAsia" w:ascii="宋体" w:hAnsi="宋体" w:cs="宋体"/>
          <w:sz w:val="30"/>
          <w:szCs w:val="30"/>
        </w:rPr>
        <w:t>3、拓展红色教育功能，发挥自身优势和特色，深入挖掘展示红色资源的思想内涵和时代价值，开展“纪兰精神”和“劳模精神”研究，大力弘扬“纪兰精神”，不断丰富和完善馆藏资源和展陈内容，努力提升公共文化服务水平和质量。</w:t>
      </w:r>
    </w:p>
    <w:p>
      <w:pPr>
        <w:snapToGrid/>
        <w:ind w:firstLine="600" w:firstLineChars="200"/>
        <w:rPr>
          <w:rFonts w:ascii="宋体" w:hAnsi="宋体" w:cs="宋体"/>
          <w:sz w:val="30"/>
          <w:szCs w:val="30"/>
        </w:rPr>
      </w:pPr>
      <w:r>
        <w:rPr>
          <w:rFonts w:hint="eastAsia" w:ascii="宋体" w:hAnsi="宋体" w:cs="宋体"/>
          <w:sz w:val="30"/>
          <w:szCs w:val="30"/>
        </w:rPr>
        <w:t>4、完成县委、县政府交办的其他工作。</w:t>
      </w:r>
    </w:p>
    <w:p>
      <w:pPr>
        <w:snapToGrid/>
        <w:ind w:firstLine="600" w:firstLineChars="200"/>
        <w:rPr>
          <w:rFonts w:ascii="宋体" w:hAnsi="宋体" w:cs="宋体"/>
          <w:sz w:val="30"/>
          <w:szCs w:val="30"/>
        </w:rPr>
      </w:pPr>
      <w:r>
        <w:rPr>
          <w:rFonts w:hint="eastAsia" w:ascii="宋体" w:hAnsi="宋体" w:cs="宋体"/>
          <w:sz w:val="30"/>
          <w:szCs w:val="30"/>
        </w:rPr>
        <w:t>二、机构设置情况</w:t>
      </w:r>
    </w:p>
    <w:p>
      <w:pPr>
        <w:snapToGrid/>
        <w:ind w:firstLine="600" w:firstLineChars="200"/>
        <w:rPr>
          <w:rFonts w:ascii="宋体" w:hAnsi="宋体" w:cs="宋体"/>
          <w:sz w:val="30"/>
          <w:szCs w:val="30"/>
        </w:rPr>
      </w:pPr>
      <w:r>
        <w:rPr>
          <w:rFonts w:hint="eastAsia" w:ascii="宋体" w:hAnsi="宋体" w:cs="宋体"/>
          <w:sz w:val="30"/>
          <w:szCs w:val="30"/>
        </w:rPr>
        <w:t>1. 根据</w:t>
      </w:r>
      <w:r>
        <w:rPr>
          <w:rFonts w:hint="eastAsia" w:ascii="宋体" w:hAnsi="宋体" w:cs="宋体"/>
          <w:sz w:val="30"/>
          <w:szCs w:val="30"/>
          <w:lang w:eastAsia="zh-CN"/>
        </w:rPr>
        <w:t>单位</w:t>
      </w:r>
      <w:r>
        <w:rPr>
          <w:rFonts w:hint="eastAsia" w:ascii="宋体" w:hAnsi="宋体" w:cs="宋体"/>
          <w:sz w:val="30"/>
          <w:szCs w:val="30"/>
        </w:rPr>
        <w:t>职责分工，本</w:t>
      </w:r>
      <w:r>
        <w:rPr>
          <w:rFonts w:hint="eastAsia" w:ascii="宋体" w:hAnsi="宋体" w:cs="宋体"/>
          <w:sz w:val="30"/>
          <w:szCs w:val="30"/>
          <w:lang w:eastAsia="zh-CN"/>
        </w:rPr>
        <w:t>单位</w:t>
      </w:r>
      <w:r>
        <w:rPr>
          <w:rFonts w:hint="eastAsia" w:ascii="宋体" w:hAnsi="宋体" w:cs="宋体"/>
          <w:sz w:val="30"/>
          <w:szCs w:val="30"/>
        </w:rPr>
        <w:t>内设机构包括:</w:t>
      </w:r>
    </w:p>
    <w:p>
      <w:pPr>
        <w:snapToGrid/>
        <w:ind w:firstLine="600" w:firstLineChars="200"/>
        <w:rPr>
          <w:rFonts w:ascii="宋体" w:hAnsi="宋体" w:cs="宋体"/>
          <w:sz w:val="30"/>
          <w:szCs w:val="30"/>
        </w:rPr>
      </w:pPr>
      <w:r>
        <w:rPr>
          <w:rFonts w:hint="eastAsia" w:ascii="宋体" w:hAnsi="宋体" w:cs="宋体"/>
          <w:sz w:val="30"/>
          <w:szCs w:val="30"/>
        </w:rPr>
        <w:t>(一)综合办公室。负责有关文件的起草，请示和计划、总结、汇报、简报等材料工作，组织好信息上报和信息公开；负责来文来电收发、登记、呈阅、交办、督办、建档和存查等工作；负责做好日常值班、重大事项报告等工作，及时传达领导指示，处理应急事件和观众投诉；负责考勤统计、公物和仓库管理、档案整理、文印工作、报刊分发、卫生清洁等工作；负责党务、精神文明及干部职工教育培训等工作；做好后勤保障、安全保卫工作；完成领导交办的其他工作。</w:t>
      </w:r>
    </w:p>
    <w:p>
      <w:pPr>
        <w:snapToGrid/>
        <w:ind w:firstLine="600" w:firstLineChars="200"/>
        <w:rPr>
          <w:rFonts w:ascii="宋体" w:hAnsi="宋体" w:cs="宋体"/>
          <w:sz w:val="30"/>
          <w:szCs w:val="30"/>
        </w:rPr>
      </w:pPr>
      <w:r>
        <w:rPr>
          <w:rFonts w:hint="eastAsia" w:ascii="宋体" w:hAnsi="宋体" w:cs="宋体"/>
          <w:sz w:val="30"/>
          <w:szCs w:val="30"/>
        </w:rPr>
        <w:t>（2）讲解部。负责西沟展览馆基本陈列讲解及各类临时展览的参观讲解工作；负责接待登记、信息反馈、讲解词编写修改工作；负责展厅展板和文物的日常维护工作。</w:t>
      </w:r>
    </w:p>
    <w:p>
      <w:pPr>
        <w:snapToGrid/>
        <w:ind w:firstLine="600" w:firstLineChars="200"/>
        <w:rPr>
          <w:rFonts w:ascii="宋体" w:hAnsi="宋体" w:cs="宋体"/>
          <w:sz w:val="30"/>
          <w:szCs w:val="30"/>
        </w:rPr>
      </w:pPr>
      <w:r>
        <w:rPr>
          <w:rFonts w:hint="eastAsia" w:ascii="宋体" w:hAnsi="宋体" w:cs="宋体"/>
          <w:sz w:val="30"/>
          <w:szCs w:val="30"/>
        </w:rPr>
        <w:t>（3）研究部。负责研究编写展览大纲，开展李顺达精神、申纪兰精神研究，挖掘整理文物、史料背后的故事；负责信息化及网上展览馆建设；负责西沟、李顺达、申纪兰等影（音）相资料、文史图书资料的收集、整理、保管、修复、复制和利用等工作；负责组织策划主题展览、临时展览活动及临时展览布展、设计、制作和展示工作；开展全国爱国主义教育示范基地之间的工作交流交往；负责志愿者的培训和管理；负责组织纪录片、宣传品等开发制作，承担和配合各类图书刊物的编写、宣传和推介推广工作。</w:t>
      </w:r>
    </w:p>
    <w:p>
      <w:pPr>
        <w:snapToGrid/>
        <w:ind w:firstLine="600" w:firstLineChars="200"/>
        <w:rPr>
          <w:rFonts w:ascii="宋体" w:hAnsi="宋体" w:cs="宋体"/>
          <w:sz w:val="30"/>
          <w:szCs w:val="30"/>
        </w:rPr>
      </w:pPr>
      <w:r>
        <w:rPr>
          <w:rFonts w:hint="eastAsia" w:ascii="宋体" w:hAnsi="宋体" w:cs="宋体"/>
          <w:sz w:val="30"/>
          <w:szCs w:val="30"/>
        </w:rPr>
        <w:t>本</w:t>
      </w:r>
      <w:r>
        <w:rPr>
          <w:rFonts w:hint="eastAsia" w:ascii="宋体" w:hAnsi="宋体" w:cs="宋体"/>
          <w:sz w:val="30"/>
          <w:szCs w:val="30"/>
          <w:lang w:eastAsia="zh-CN"/>
        </w:rPr>
        <w:t>单位</w:t>
      </w:r>
      <w:r>
        <w:rPr>
          <w:rFonts w:hint="eastAsia" w:ascii="宋体" w:hAnsi="宋体" w:cs="宋体"/>
          <w:sz w:val="30"/>
          <w:szCs w:val="30"/>
        </w:rPr>
        <w:t>无下属单位</w:t>
      </w:r>
    </w:p>
    <w:p>
      <w:pPr>
        <w:ind w:firstLine="600" w:firstLineChars="200"/>
        <w:rPr>
          <w:rFonts w:ascii="宋体" w:hAnsi="宋体" w:cs="宋体"/>
          <w:sz w:val="30"/>
          <w:szCs w:val="30"/>
        </w:rPr>
      </w:pPr>
      <w:r>
        <w:rPr>
          <w:rFonts w:ascii="宋体" w:hAnsi="宋体" w:cs="宋体"/>
          <w:sz w:val="30"/>
          <w:szCs w:val="30"/>
        </w:rPr>
        <w:t>2. 从决算单位构成看，纳入</w:t>
      </w:r>
      <w:r>
        <w:rPr>
          <w:rFonts w:hint="eastAsia" w:ascii="宋体" w:hAnsi="宋体" w:cs="宋体"/>
          <w:sz w:val="30"/>
          <w:szCs w:val="30"/>
        </w:rPr>
        <w:t>平顺县西沟接待中心</w:t>
      </w:r>
      <w:r>
        <w:rPr>
          <w:rFonts w:hint="eastAsia" w:ascii="宋体" w:hAnsi="宋体" w:cs="宋体"/>
          <w:sz w:val="30"/>
          <w:szCs w:val="30"/>
          <w:lang w:eastAsia="zh-CN"/>
        </w:rPr>
        <w:t>单位</w:t>
      </w:r>
      <w:r>
        <w:rPr>
          <w:rFonts w:ascii="宋体" w:hAnsi="宋体" w:cs="宋体"/>
          <w:sz w:val="30"/>
          <w:szCs w:val="30"/>
        </w:rPr>
        <w:t>20</w:t>
      </w:r>
      <w:r>
        <w:rPr>
          <w:rFonts w:hint="eastAsia" w:ascii="宋体" w:hAnsi="宋体" w:cs="宋体"/>
          <w:sz w:val="30"/>
          <w:szCs w:val="30"/>
        </w:rPr>
        <w:t>20</w:t>
      </w:r>
      <w:r>
        <w:rPr>
          <w:rFonts w:ascii="宋体" w:hAnsi="宋体" w:cs="宋体"/>
          <w:sz w:val="30"/>
          <w:szCs w:val="30"/>
        </w:rPr>
        <w:t>年</w:t>
      </w:r>
      <w:r>
        <w:rPr>
          <w:rFonts w:hint="eastAsia" w:ascii="宋体" w:hAnsi="宋体" w:cs="宋体"/>
          <w:sz w:val="30"/>
          <w:szCs w:val="30"/>
          <w:lang w:eastAsia="zh-CN"/>
        </w:rPr>
        <w:t>单位</w:t>
      </w:r>
      <w:r>
        <w:rPr>
          <w:rFonts w:ascii="宋体" w:hAnsi="宋体" w:cs="宋体"/>
          <w:sz w:val="30"/>
          <w:szCs w:val="30"/>
        </w:rPr>
        <w:t>汇总决算编制范围的预算单位共计1家，具体</w:t>
      </w:r>
      <w:r>
        <w:rPr>
          <w:rFonts w:hint="eastAsia" w:ascii="宋体" w:hAnsi="宋体" w:cs="宋体"/>
          <w:sz w:val="30"/>
          <w:szCs w:val="30"/>
        </w:rPr>
        <w:t>平顺县西沟接待中心</w:t>
      </w:r>
      <w:r>
        <w:rPr>
          <w:rFonts w:ascii="宋体" w:hAnsi="宋体" w:cs="宋体"/>
          <w:sz w:val="30"/>
          <w:szCs w:val="30"/>
        </w:rPr>
        <w:t>。</w:t>
      </w:r>
    </w:p>
    <w:p>
      <w:pPr>
        <w:snapToGrid/>
        <w:ind w:firstLine="600" w:firstLineChars="200"/>
        <w:rPr>
          <w:rFonts w:ascii="宋体" w:hAnsi="宋体" w:cs="宋体"/>
          <w:sz w:val="30"/>
          <w:szCs w:val="30"/>
        </w:rPr>
      </w:pPr>
      <w:r>
        <w:rPr>
          <w:rFonts w:hint="eastAsia" w:ascii="宋体" w:hAnsi="宋体" w:cs="宋体"/>
          <w:sz w:val="30"/>
          <w:szCs w:val="30"/>
        </w:rPr>
        <w:t>三、年度工作计划及执行情况</w:t>
      </w:r>
    </w:p>
    <w:p>
      <w:pPr>
        <w:snapToGrid/>
        <w:ind w:firstLine="600" w:firstLineChars="200"/>
        <w:rPr>
          <w:rFonts w:hint="eastAsia" w:ascii="宋体" w:hAnsi="宋体" w:cs="宋体"/>
          <w:sz w:val="30"/>
          <w:szCs w:val="30"/>
        </w:rPr>
      </w:pPr>
      <w:r>
        <w:rPr>
          <w:rFonts w:hint="eastAsia" w:ascii="宋体" w:hAnsi="宋体" w:cs="宋体"/>
          <w:b/>
          <w:bCs/>
          <w:sz w:val="30"/>
          <w:szCs w:val="30"/>
        </w:rPr>
        <w:t xml:space="preserve"> 1、日常接待工作圆满完成</w:t>
      </w:r>
      <w:r>
        <w:rPr>
          <w:rFonts w:hint="eastAsia" w:ascii="宋体" w:hAnsi="宋体" w:cs="宋体"/>
          <w:sz w:val="30"/>
          <w:szCs w:val="30"/>
        </w:rPr>
        <w:t>。今年以来，我馆先后接待了来至全国各地的参观游客86300余人次，接待了中华全国供销合作社党组成员、理事会副主任邹天敬，省委人大常委会副主任卫小春等省市领导，接待了全国各地党史学习教育参观学习团680余批。圆满完成了县委、县政府交办的山西省第六届“著名作家看山西—长治行”主题采风活动，省委党史学习教育巡回指导组、山西省政法系统教育整顿指导组、长治市“党史学习教育—百师百课讲百年”宣讲活动；长治市总工会“重走来时路、永远跟党走”劳模参观学习活动，“中国共产党100年乡村建设宝贵经验及典型案例研究编写组—山西行”等大型接待任务。</w:t>
      </w:r>
    </w:p>
    <w:p>
      <w:pPr>
        <w:snapToGrid/>
        <w:ind w:firstLine="600" w:firstLineChars="200"/>
        <w:rPr>
          <w:rFonts w:ascii="宋体" w:hAnsi="宋体" w:cs="宋体"/>
          <w:sz w:val="30"/>
          <w:szCs w:val="30"/>
        </w:rPr>
      </w:pPr>
      <w:r>
        <w:rPr>
          <w:rFonts w:hint="eastAsia" w:ascii="宋体" w:hAnsi="宋体" w:cs="宋体"/>
          <w:b/>
          <w:bCs/>
          <w:sz w:val="30"/>
          <w:szCs w:val="30"/>
        </w:rPr>
        <w:t>2、加大劳模精神宣传力度</w:t>
      </w:r>
      <w:r>
        <w:rPr>
          <w:rFonts w:hint="eastAsia" w:ascii="宋体" w:hAnsi="宋体" w:cs="宋体"/>
          <w:sz w:val="30"/>
          <w:szCs w:val="30"/>
        </w:rPr>
        <w:t>。一是根据省委宣传部部署，完成了西沟展览馆“网上展览馆”前期拍摄工作；二是积极配合山西艺术研究院新创广播剧《申纪兰》编创工作，山西三晋出版社《申纪兰人生档案》书籍编写工作，晋城市上党梆子剧团和长治市歌舞团编排上党梆子现代戏剧《申纪兰》和话剧《纪兰故事》；配合山西影视集团筹拍电影《申纪兰》。三是接待了人民日报、新华社、北京日报、山西日报、山西电视台、长治日报、长治电视台等大型采访活动，广泛宣传李顺达、申纪兰的劳模精神和西沟展览馆等红色旅游资源，全方位提高了西沟展览馆在外的知名度和影响力。</w:t>
      </w:r>
    </w:p>
    <w:p>
      <w:pPr>
        <w:snapToGrid/>
        <w:ind w:firstLine="600" w:firstLineChars="200"/>
        <w:rPr>
          <w:rFonts w:hint="eastAsia"/>
          <w:sz w:val="28"/>
          <w:szCs w:val="28"/>
        </w:rPr>
      </w:pPr>
      <w:r>
        <w:rPr>
          <w:rFonts w:hint="eastAsia" w:ascii="宋体" w:hAnsi="宋体" w:cs="宋体"/>
          <w:b/>
          <w:bCs/>
          <w:sz w:val="30"/>
          <w:szCs w:val="30"/>
        </w:rPr>
        <w:t>3、扎实开展党史学习教育</w:t>
      </w:r>
      <w:r>
        <w:rPr>
          <w:rFonts w:hint="eastAsia" w:ascii="宋体" w:hAnsi="宋体" w:cs="宋体"/>
          <w:sz w:val="30"/>
          <w:szCs w:val="30"/>
        </w:rPr>
        <w:t>。一</w:t>
      </w:r>
      <w:r>
        <w:rPr>
          <w:rFonts w:hint="eastAsia"/>
          <w:sz w:val="28"/>
          <w:szCs w:val="28"/>
        </w:rPr>
        <w:t>是紧紧围绕党史学习教育，创新“五学”“三讲”“三结合”做法，增强了党史学习教育的吸引力和感染力。“五学”即：党员干部集中学、班子成员带领学、普通党员分散学、白天工作晚上学、请进老师辅导学；“三讲”即：讲好西沟故事、讲好李顺达创业故事、讲好申纪兰奋斗故事；“三结合”即：党史学习教育与提升党员干部素质相结合、与大力弘扬劳模精神相结合、与办实事做好事解难题相结合。二是开展“我为群众办实事”活动。定期不定期组织党员干部办实事、做好事，宣讲“纪兰故事”10余次，解决实际问题8件次。三是开展技能培训，提高管理水平。先</w:t>
      </w:r>
      <w:r>
        <w:rPr>
          <w:rFonts w:hint="eastAsia" w:ascii="宋体" w:hAnsi="宋体" w:cs="宋体"/>
          <w:sz w:val="30"/>
          <w:szCs w:val="30"/>
        </w:rPr>
        <w:t>后派张晓伟赴湖南省湘潭市参加中宣部举</w:t>
      </w:r>
      <w:r>
        <w:rPr>
          <w:rFonts w:hint="eastAsia"/>
          <w:sz w:val="28"/>
          <w:szCs w:val="28"/>
        </w:rPr>
        <w:t>办的全国爱国主义教育示范基地学习党史专题培训班，付晋岗赴贵州遵义市举办的山西省红色旅游经典景区管理人员培训班。</w:t>
      </w:r>
    </w:p>
    <w:p>
      <w:pPr>
        <w:snapToGrid/>
        <w:ind w:firstLine="600" w:firstLineChars="200"/>
        <w:rPr>
          <w:rFonts w:ascii="宋体" w:hAnsi="宋体" w:cs="宋体"/>
          <w:sz w:val="30"/>
          <w:szCs w:val="30"/>
        </w:rPr>
      </w:pPr>
      <w:r>
        <w:rPr>
          <w:rFonts w:hint="eastAsia" w:ascii="宋体" w:hAnsi="宋体" w:cs="宋体"/>
          <w:b/>
          <w:bCs/>
          <w:sz w:val="30"/>
          <w:szCs w:val="30"/>
        </w:rPr>
        <w:t>4、开展文物文献整理工作</w:t>
      </w:r>
      <w:r>
        <w:rPr>
          <w:rFonts w:hint="eastAsia" w:ascii="宋体" w:hAnsi="宋体" w:cs="宋体"/>
          <w:sz w:val="30"/>
          <w:szCs w:val="30"/>
        </w:rPr>
        <w:t>。</w:t>
      </w:r>
      <w:r>
        <w:rPr>
          <w:rFonts w:hint="eastAsia"/>
          <w:sz w:val="28"/>
          <w:szCs w:val="28"/>
        </w:rPr>
        <w:t>整理申纪兰遗物遗物280余件。收集关于西沟村、李顺达、申纪兰报纸80余份，书籍9本，相关资料6套，进一步丰富了我馆馆藏文物，提升了西沟展览馆馆藏文物品味和影响力。今年1月山西省文物局公布全省第一批革命文物名录，李顺达故居名列其中。</w:t>
      </w:r>
    </w:p>
    <w:p>
      <w:pPr>
        <w:snapToGrid/>
        <w:ind w:firstLine="600" w:firstLineChars="200"/>
        <w:rPr>
          <w:rFonts w:hint="eastAsia"/>
          <w:sz w:val="28"/>
          <w:szCs w:val="28"/>
        </w:rPr>
      </w:pPr>
      <w:r>
        <w:rPr>
          <w:rFonts w:hint="eastAsia" w:ascii="宋体" w:hAnsi="宋体" w:cs="宋体"/>
          <w:b/>
          <w:bCs/>
          <w:sz w:val="30"/>
          <w:szCs w:val="30"/>
        </w:rPr>
        <w:t>5、规范陈列布展和讲解词</w:t>
      </w:r>
      <w:r>
        <w:rPr>
          <w:rFonts w:hint="eastAsia" w:ascii="宋体" w:hAnsi="宋体" w:cs="宋体"/>
          <w:sz w:val="30"/>
          <w:szCs w:val="30"/>
        </w:rPr>
        <w:t>。一</w:t>
      </w:r>
      <w:r>
        <w:rPr>
          <w:rFonts w:hint="eastAsia"/>
          <w:sz w:val="28"/>
          <w:szCs w:val="28"/>
        </w:rPr>
        <w:t>是修改完善西沟览馆讲解词。根据省委宣传部和市委宣传部要求，对讲解词进行了系统修改，并通过了省委和市委宣传</w:t>
      </w:r>
      <w:r>
        <w:rPr>
          <w:rFonts w:hint="eastAsia"/>
          <w:sz w:val="28"/>
          <w:szCs w:val="28"/>
          <w:lang w:eastAsia="zh-CN"/>
        </w:rPr>
        <w:t>单位</w:t>
      </w:r>
      <w:r>
        <w:rPr>
          <w:rFonts w:hint="eastAsia"/>
          <w:sz w:val="28"/>
          <w:szCs w:val="28"/>
        </w:rPr>
        <w:t>审核。修改后的讲解词内容更客观、更真实、更生动，没有刻意拔高人物形象、虚高人物事实、神话人物传说的现象，让观众信服。二是调整陈列布展内容。根据省委和市委宣传部要求，对西沟展览馆展陈内容进行了局部改陈，做到了时序清晰、层次分明、布局合理、详略得当。三是全面推进西沟展览馆改陈布展。</w:t>
      </w:r>
    </w:p>
    <w:p>
      <w:pPr>
        <w:spacing w:line="220" w:lineRule="atLeast"/>
        <w:rPr>
          <w:rFonts w:hint="eastAsia"/>
          <w:sz w:val="28"/>
          <w:szCs w:val="28"/>
        </w:rPr>
      </w:pPr>
      <w:r>
        <w:rPr>
          <w:rFonts w:hint="eastAsia" w:ascii="宋体" w:hAnsi="宋体" w:cs="宋体"/>
          <w:b/>
          <w:bCs/>
          <w:sz w:val="30"/>
          <w:szCs w:val="30"/>
        </w:rPr>
        <w:t>6、优化提升接待服务环境</w:t>
      </w:r>
      <w:r>
        <w:rPr>
          <w:rFonts w:hint="eastAsia" w:ascii="宋体" w:hAnsi="宋体" w:cs="宋体"/>
          <w:sz w:val="30"/>
          <w:szCs w:val="30"/>
        </w:rPr>
        <w:t>。一</w:t>
      </w:r>
      <w:r>
        <w:rPr>
          <w:rFonts w:hint="eastAsia"/>
          <w:sz w:val="28"/>
          <w:szCs w:val="28"/>
        </w:rPr>
        <w:t>是优化接待服务环境。今年先后在展览馆安装了残疾人通道，无障碍公厕，进一步提升了服务水平，受到了游客和观众好评。二是规范和完善了学雷锋志愿者平台，购买了雨伞、日常用药药品等。三是加强疫情防控安全管理。配齐配全防疫物资和设施设备，做好疫情防控工作，安排专人对参观游客逐一做好体温测量和登记工作。</w:t>
      </w:r>
    </w:p>
    <w:p>
      <w:pPr>
        <w:spacing w:line="220" w:lineRule="atLeast"/>
        <w:rPr>
          <w:rFonts w:ascii="宋体" w:hAnsi="宋体" w:cs="宋体"/>
          <w:sz w:val="30"/>
          <w:szCs w:val="30"/>
        </w:rPr>
      </w:pPr>
      <w:r>
        <w:rPr>
          <w:rFonts w:hint="eastAsia"/>
          <w:sz w:val="28"/>
          <w:szCs w:val="28"/>
        </w:rPr>
        <w:t>今年3月，《长治新闻网》专题报道了西沟展览馆《发挥红色优势，讲好劳模故事》的做法和经验；2021年3月，我中</w:t>
      </w:r>
      <w:r>
        <w:rPr>
          <w:rFonts w:hint="eastAsia" w:ascii="宋体" w:hAnsi="宋体" w:cs="宋体"/>
          <w:sz w:val="30"/>
          <w:szCs w:val="30"/>
        </w:rPr>
        <w:t>心被县委、县政府表彰为先进单位，2021年6月，我中心被县委表彰为全县先进基层党组织。</w:t>
      </w:r>
    </w:p>
    <w:p>
      <w:pPr>
        <w:snapToGrid/>
        <w:ind w:firstLine="600" w:firstLineChars="200"/>
        <w:rPr>
          <w:rFonts w:ascii="宋体" w:hAnsi="宋体" w:cs="宋体"/>
          <w:b/>
          <w:bCs/>
          <w:sz w:val="30"/>
          <w:szCs w:val="30"/>
        </w:rPr>
      </w:pPr>
      <w:r>
        <w:rPr>
          <w:rFonts w:hint="eastAsia" w:ascii="宋体" w:hAnsi="宋体" w:cs="宋体"/>
          <w:b/>
          <w:bCs/>
          <w:sz w:val="30"/>
          <w:szCs w:val="30"/>
        </w:rPr>
        <w:t>（二）2022年工作计划</w:t>
      </w:r>
    </w:p>
    <w:p>
      <w:pPr>
        <w:spacing w:line="220" w:lineRule="atLeast"/>
        <w:ind w:firstLine="560" w:firstLineChars="200"/>
        <w:rPr>
          <w:sz w:val="28"/>
          <w:szCs w:val="28"/>
        </w:rPr>
      </w:pPr>
      <w:r>
        <w:rPr>
          <w:rFonts w:hint="eastAsia"/>
          <w:sz w:val="28"/>
          <w:szCs w:val="28"/>
        </w:rPr>
        <w:t>1、服从县委决策，全力做好各项工作。按照县委、县政府“打造西沟县城副中心，创建西沟劳模文化园，建设纪兰党性教育基地”要求，不折不扣服从县委决定，听从县委安排，全力完成县委交办的我中心各项工作任务。</w:t>
      </w:r>
    </w:p>
    <w:p>
      <w:pPr>
        <w:spacing w:line="220" w:lineRule="atLeast"/>
        <w:ind w:firstLine="560" w:firstLineChars="200"/>
        <w:rPr>
          <w:sz w:val="28"/>
          <w:szCs w:val="28"/>
        </w:rPr>
      </w:pPr>
      <w:r>
        <w:rPr>
          <w:rFonts w:hint="eastAsia"/>
          <w:sz w:val="28"/>
          <w:szCs w:val="28"/>
        </w:rPr>
        <w:t>2、争取上级资金，启动改陈布展工作。西沟展览馆改陈布展大纲和版式稿通过省委宣传部评审并报中宣部，今年要积极争取上级改陈布展资金，完成西沟展览馆改陈布展工作。同时做好改陈布展后的讲解词编写工作。</w:t>
      </w:r>
    </w:p>
    <w:p>
      <w:pPr>
        <w:spacing w:line="220" w:lineRule="atLeast"/>
        <w:ind w:firstLine="560" w:firstLineChars="200"/>
        <w:rPr>
          <w:sz w:val="28"/>
          <w:szCs w:val="28"/>
        </w:rPr>
      </w:pPr>
      <w:r>
        <w:rPr>
          <w:rFonts w:hint="eastAsia"/>
          <w:sz w:val="28"/>
          <w:szCs w:val="28"/>
        </w:rPr>
        <w:t>3、加大宣传力度，扩大知名度影响力。通过报纸报刊、电视媒体、平面广告、微信公众平台等手段，广泛宣传西沟、李顺达、申纪兰的先进事迹和西沟红色旅游资源，全方位提高西沟展览馆等红色旅游知名度和影响力。</w:t>
      </w:r>
    </w:p>
    <w:p>
      <w:pPr>
        <w:spacing w:line="220" w:lineRule="atLeast"/>
        <w:ind w:firstLine="560" w:firstLineChars="200"/>
        <w:rPr>
          <w:sz w:val="28"/>
          <w:szCs w:val="28"/>
        </w:rPr>
      </w:pPr>
      <w:r>
        <w:rPr>
          <w:rFonts w:hint="eastAsia"/>
          <w:sz w:val="28"/>
          <w:szCs w:val="28"/>
        </w:rPr>
        <w:t>4、提升服务质量，增创全省一流基地。加强讲解员队伍建设，招聘讲解员人才，提升服务质量。通过全方位培训，全面提高管理人员和讲解人员服务水平，真正把西沟展览馆打造成我县的一张张靓丽名片。</w:t>
      </w:r>
    </w:p>
    <w:p>
      <w:pPr>
        <w:ind w:left="1369" w:leftChars="304" w:hanging="700" w:hangingChars="250"/>
        <w:rPr>
          <w:rFonts w:ascii="仿宋_GB2312" w:hAnsi="楷体" w:eastAsia="仿宋_GB2312"/>
          <w:color w:val="FF0000"/>
          <w:sz w:val="28"/>
          <w:szCs w:val="28"/>
        </w:rPr>
      </w:pPr>
    </w:p>
    <w:p>
      <w:pPr>
        <w:spacing w:line="220" w:lineRule="atLeast"/>
        <w:rPr>
          <w:b/>
          <w:sz w:val="28"/>
          <w:szCs w:val="28"/>
        </w:rPr>
      </w:pPr>
      <w:r>
        <w:rPr>
          <w:rFonts w:hint="eastAsia"/>
          <w:b/>
          <w:sz w:val="28"/>
          <w:szCs w:val="28"/>
        </w:rPr>
        <w:t>第二部分 2021年度</w:t>
      </w:r>
      <w:r>
        <w:rPr>
          <w:rFonts w:hint="eastAsia"/>
          <w:b/>
          <w:sz w:val="28"/>
          <w:szCs w:val="28"/>
          <w:lang w:eastAsia="zh-CN"/>
        </w:rPr>
        <w:t>单位</w:t>
      </w:r>
      <w:r>
        <w:rPr>
          <w:rFonts w:hint="eastAsia"/>
          <w:b/>
          <w:sz w:val="28"/>
          <w:szCs w:val="28"/>
        </w:rPr>
        <w:t>决算报表（见附表1）</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八、政府性基金预算财政拨款收入支出决算表（注：我单位没有使用政府性基金预算财政拨款安排的支出，故本表无数据）</w:t>
      </w:r>
    </w:p>
    <w:p>
      <w:pPr>
        <w:spacing w:line="220" w:lineRule="atLeast"/>
        <w:rPr>
          <w:sz w:val="28"/>
          <w:szCs w:val="28"/>
        </w:rPr>
      </w:pPr>
      <w:r>
        <w:rPr>
          <w:rFonts w:hint="eastAsia"/>
          <w:sz w:val="28"/>
          <w:szCs w:val="28"/>
        </w:rPr>
        <w:t>九、国有资本经营预算财政   拨款支出决算表（注：我单位没有使用国有资本经营预算安排的支出，故本表无数据）</w:t>
      </w:r>
    </w:p>
    <w:p>
      <w:pPr>
        <w:spacing w:line="220" w:lineRule="atLeast"/>
        <w:rPr>
          <w:sz w:val="28"/>
          <w:szCs w:val="28"/>
        </w:rPr>
      </w:pPr>
      <w:r>
        <w:rPr>
          <w:rFonts w:hint="eastAsia"/>
          <w:sz w:val="28"/>
          <w:szCs w:val="28"/>
        </w:rPr>
        <w:t>十、</w:t>
      </w:r>
      <w:r>
        <w:rPr>
          <w:rFonts w:hint="eastAsia"/>
          <w:sz w:val="28"/>
          <w:szCs w:val="28"/>
          <w:lang w:eastAsia="zh-CN"/>
        </w:rPr>
        <w:t>单位</w:t>
      </w:r>
      <w:r>
        <w:rPr>
          <w:rFonts w:hint="eastAsia"/>
          <w:sz w:val="28"/>
          <w:szCs w:val="28"/>
        </w:rPr>
        <w:t>决算公开相关信息统计表</w:t>
      </w:r>
    </w:p>
    <w:p>
      <w:pPr>
        <w:spacing w:line="220" w:lineRule="atLeast"/>
        <w:rPr>
          <w:sz w:val="28"/>
          <w:szCs w:val="28"/>
        </w:rPr>
      </w:pPr>
      <w:r>
        <w:rPr>
          <w:rFonts w:hint="eastAsia"/>
          <w:b/>
          <w:sz w:val="28"/>
          <w:szCs w:val="28"/>
        </w:rPr>
        <w:t>第三部分 2021年度</w:t>
      </w:r>
      <w:r>
        <w:rPr>
          <w:rFonts w:hint="eastAsia"/>
          <w:b/>
          <w:sz w:val="28"/>
          <w:szCs w:val="28"/>
          <w:lang w:eastAsia="zh-CN"/>
        </w:rPr>
        <w:t>单位</w:t>
      </w:r>
      <w:r>
        <w:rPr>
          <w:rFonts w:hint="eastAsia"/>
          <w:b/>
          <w:sz w:val="28"/>
          <w:szCs w:val="28"/>
        </w:rPr>
        <w:t>决算情况说明</w:t>
      </w:r>
      <w:r>
        <w:rPr>
          <w:rFonts w:hint="eastAsia"/>
          <w:sz w:val="28"/>
          <w:szCs w:val="28"/>
        </w:rPr>
        <w:t>（可根据实际情况附图说明）</w:t>
      </w:r>
    </w:p>
    <w:p>
      <w:pPr>
        <w:spacing w:line="220" w:lineRule="atLeast"/>
        <w:ind w:firstLine="560" w:firstLineChars="200"/>
        <w:rPr>
          <w:b/>
          <w:sz w:val="28"/>
          <w:szCs w:val="28"/>
        </w:rPr>
      </w:pPr>
      <w:r>
        <w:rPr>
          <w:rFonts w:hint="eastAsia"/>
          <w:b/>
          <w:sz w:val="28"/>
          <w:szCs w:val="28"/>
        </w:rPr>
        <w:t>一、收入支出决算总体情况说明</w:t>
      </w:r>
    </w:p>
    <w:p>
      <w:pPr>
        <w:spacing w:line="220" w:lineRule="atLeast"/>
        <w:ind w:firstLine="560" w:firstLineChars="200"/>
        <w:rPr>
          <w:sz w:val="28"/>
          <w:szCs w:val="28"/>
        </w:rPr>
      </w:pPr>
      <w:r>
        <w:rPr>
          <w:rFonts w:hint="eastAsia"/>
          <w:sz w:val="28"/>
          <w:szCs w:val="28"/>
        </w:rPr>
        <w:t>2021年度收入总计367.70万元、支出总计402.20万元。与上年相比，收入总计增加135.05万元，增加58.05%，支出总计增加185.09万元，增加85.26%。主要原因是展览馆工程款增加。</w:t>
      </w:r>
    </w:p>
    <w:p>
      <w:pPr>
        <w:spacing w:line="220" w:lineRule="atLeast"/>
        <w:ind w:firstLine="560" w:firstLineChars="200"/>
        <w:rPr>
          <w:b/>
          <w:sz w:val="28"/>
          <w:szCs w:val="28"/>
        </w:rPr>
      </w:pPr>
      <w:r>
        <w:rPr>
          <w:rFonts w:hint="eastAsia"/>
          <w:b/>
          <w:sz w:val="28"/>
          <w:szCs w:val="28"/>
        </w:rPr>
        <w:t>二、收入决算情况说明</w:t>
      </w:r>
    </w:p>
    <w:p>
      <w:pPr>
        <w:spacing w:line="220" w:lineRule="atLeast"/>
        <w:ind w:firstLine="560" w:firstLineChars="200"/>
        <w:rPr>
          <w:sz w:val="28"/>
          <w:szCs w:val="28"/>
        </w:rPr>
      </w:pPr>
      <w:r>
        <w:rPr>
          <w:rFonts w:hint="eastAsia"/>
          <w:sz w:val="28"/>
          <w:szCs w:val="28"/>
        </w:rPr>
        <w:t>2021年度收入合计367.70万元，其中：财政拨款收入364.94万元，占比99.25%；上级补助收入0万元，占比0%；事业收入0万元，占比0%；经营收入0万元，占比0%；附属单位上缴收入0万元，占比0%；其他收入2.76万元，占比0.75%。</w:t>
      </w:r>
    </w:p>
    <w:p>
      <w:pPr>
        <w:spacing w:line="220" w:lineRule="atLeast"/>
        <w:ind w:firstLine="560" w:firstLineChars="200"/>
        <w:rPr>
          <w:b/>
          <w:sz w:val="28"/>
          <w:szCs w:val="28"/>
        </w:rPr>
      </w:pPr>
      <w:r>
        <w:rPr>
          <w:rFonts w:hint="eastAsia"/>
          <w:b/>
          <w:sz w:val="28"/>
          <w:szCs w:val="28"/>
        </w:rPr>
        <w:t>三、支出决算情况说明</w:t>
      </w:r>
    </w:p>
    <w:p>
      <w:pPr>
        <w:spacing w:line="220" w:lineRule="atLeast"/>
        <w:ind w:firstLine="560" w:firstLineChars="200"/>
        <w:rPr>
          <w:sz w:val="28"/>
          <w:szCs w:val="28"/>
        </w:rPr>
      </w:pPr>
      <w:r>
        <w:rPr>
          <w:rFonts w:hint="eastAsia"/>
          <w:sz w:val="28"/>
          <w:szCs w:val="28"/>
        </w:rPr>
        <w:t>2021年度支出合计402.20万元，其中：基本支出162.45万元，占比40.39%；项目支出239.74万元，占比59.61%；上缴上级支出0万元，占比0%，经营支出0万元，占比0%， 对附属单位补助支出0万元，占比0%。</w:t>
      </w:r>
    </w:p>
    <w:p>
      <w:pPr>
        <w:spacing w:line="220" w:lineRule="atLeast"/>
        <w:ind w:firstLine="560" w:firstLineChars="200"/>
        <w:rPr>
          <w:b/>
          <w:sz w:val="28"/>
          <w:szCs w:val="28"/>
        </w:rPr>
      </w:pPr>
      <w:r>
        <w:rPr>
          <w:rFonts w:hint="eastAsia"/>
          <w:b/>
          <w:sz w:val="28"/>
          <w:szCs w:val="28"/>
        </w:rPr>
        <w:t>四、财政拨款收入支出决算总体情况说明</w:t>
      </w:r>
    </w:p>
    <w:p>
      <w:pPr>
        <w:spacing w:line="220" w:lineRule="atLeast"/>
        <w:ind w:firstLine="560" w:firstLineChars="200"/>
        <w:rPr>
          <w:sz w:val="28"/>
          <w:szCs w:val="28"/>
        </w:rPr>
      </w:pPr>
      <w:r>
        <w:rPr>
          <w:rFonts w:hint="eastAsia"/>
          <w:sz w:val="28"/>
          <w:szCs w:val="28"/>
        </w:rPr>
        <w:t>2021年度财政拨款收入总计364.94万元、支出总计399.44万元。与上年相比，财政拨款收入总计增加132.29万元，增加56.86%，财政拨款支出总计增加182.34万元，增加83.99%。主要原因展览馆工程款增加。</w:t>
      </w:r>
    </w:p>
    <w:p>
      <w:pPr>
        <w:spacing w:line="220" w:lineRule="atLeast"/>
        <w:ind w:firstLine="560" w:firstLineChars="200"/>
        <w:rPr>
          <w:b/>
          <w:sz w:val="28"/>
          <w:szCs w:val="28"/>
        </w:rPr>
      </w:pPr>
      <w:r>
        <w:rPr>
          <w:rFonts w:hint="eastAsia"/>
          <w:b/>
          <w:sz w:val="28"/>
          <w:szCs w:val="28"/>
        </w:rPr>
        <w:t>五、一般公共预算财政拨款支出决算情况说明</w:t>
      </w:r>
    </w:p>
    <w:p>
      <w:pPr>
        <w:spacing w:line="220" w:lineRule="atLeast"/>
        <w:ind w:firstLine="420" w:firstLineChars="150"/>
        <w:rPr>
          <w:b/>
          <w:sz w:val="28"/>
          <w:szCs w:val="28"/>
        </w:rPr>
      </w:pPr>
      <w:r>
        <w:rPr>
          <w:rFonts w:hint="eastAsia"/>
          <w:b/>
          <w:sz w:val="28"/>
          <w:szCs w:val="28"/>
        </w:rPr>
        <w:t>（一）财政拨款支出决算总体情况</w:t>
      </w:r>
    </w:p>
    <w:p>
      <w:pPr>
        <w:spacing w:line="220" w:lineRule="atLeast"/>
        <w:ind w:firstLine="560" w:firstLineChars="200"/>
        <w:rPr>
          <w:sz w:val="28"/>
          <w:szCs w:val="28"/>
        </w:rPr>
      </w:pPr>
      <w:r>
        <w:rPr>
          <w:rFonts w:hint="eastAsia"/>
          <w:sz w:val="28"/>
          <w:szCs w:val="28"/>
        </w:rPr>
        <w:t>2021年度财政拨款支出399.44万元，占本年支出合计的99.31%。与上年相比，财政拨款支出增加182.34万元，增加83.99%。主要原因是展览馆工程款增加。其中，人员经费154.2万元，占比38.60%， 日常公用经费5.5万元，占比1.38%。</w:t>
      </w:r>
    </w:p>
    <w:p>
      <w:pPr>
        <w:spacing w:line="220" w:lineRule="atLeast"/>
        <w:ind w:firstLine="420" w:firstLineChars="150"/>
        <w:rPr>
          <w:b/>
          <w:sz w:val="28"/>
          <w:szCs w:val="28"/>
        </w:rPr>
      </w:pPr>
      <w:r>
        <w:rPr>
          <w:rFonts w:hint="eastAsia"/>
          <w:b/>
          <w:sz w:val="28"/>
          <w:szCs w:val="28"/>
        </w:rPr>
        <w:t>（二）财政拨款支出决算结构情况</w:t>
      </w:r>
    </w:p>
    <w:p>
      <w:pPr>
        <w:spacing w:line="220" w:lineRule="atLeast"/>
        <w:ind w:firstLine="560" w:firstLineChars="200"/>
        <w:rPr>
          <w:sz w:val="28"/>
          <w:szCs w:val="28"/>
        </w:rPr>
      </w:pPr>
      <w:r>
        <w:rPr>
          <w:rFonts w:hint="eastAsia"/>
          <w:sz w:val="28"/>
          <w:szCs w:val="28"/>
        </w:rPr>
        <w:t>2021年度财政拨款支出399.44万元，主要用于以下方面：一般公共服务（类）支出121.81万元，占30.28%；外交（类）支出0万元，占0%；国防（类）支出0万元，占0%；公共安全（类）支出0万元，占0%；教育（类）支出0万元，占0%；科学技术（类）支出0万元，占0%；文化旅游体育与传媒（类）支出242.50万元，占60.29%；社会保障和就业（类）支出16.38万元，</w:t>
      </w:r>
      <w:r>
        <w:rPr>
          <w:sz w:val="28"/>
          <w:szCs w:val="28"/>
        </w:rPr>
        <w:t xml:space="preserve"> </w:t>
      </w:r>
      <w:r>
        <w:rPr>
          <w:rFonts w:hint="eastAsia"/>
          <w:sz w:val="28"/>
          <w:szCs w:val="28"/>
        </w:rPr>
        <w:t>占4.07%；卫生健康（类）支出7.79万元，占1.94%；节能环保（类）支出0万元，占0%；城乡社区（类）支出0万元，占0%；农林水（类）支出0万元，占0%；交通运输（类）支出0万元，占0%；资源勘探工业信息等（类）支出0万元，占0%；商业服务业等（类）支出0万元，占0%；金融（类）支出0万元，占0%；援助其他地区（类）支出0万元，占0%；自然资源海洋气象等（类）支出0万元，占0%；住房保障（类）支出13.72万元，占3.41%；粮油物资储备（类）支出0万元，占0%；国有资本经营预算（类）支出0万元，占0%；灾害防治及应急管理（类）支出0万元，占0%；其（类）支出0万元，占0%；债务还本（类）支出0万元，占0%；债务付息（类）支出0万元，占0%；抗疫特别国债安排（类）支出0万元，占0%；（没有的项可不列举）</w:t>
      </w:r>
    </w:p>
    <w:p>
      <w:pPr>
        <w:spacing w:line="220" w:lineRule="atLeast"/>
        <w:ind w:firstLine="420" w:firstLineChars="150"/>
        <w:rPr>
          <w:b/>
          <w:sz w:val="28"/>
          <w:szCs w:val="28"/>
        </w:rPr>
      </w:pPr>
      <w:r>
        <w:rPr>
          <w:rFonts w:hint="eastAsia"/>
          <w:b/>
          <w:sz w:val="28"/>
          <w:szCs w:val="28"/>
        </w:rPr>
        <w:t>（三）财政拨款支出决算具体情况</w:t>
      </w:r>
    </w:p>
    <w:p>
      <w:pPr>
        <w:spacing w:line="220" w:lineRule="atLeast"/>
        <w:ind w:firstLine="560" w:firstLineChars="200"/>
        <w:rPr>
          <w:sz w:val="28"/>
          <w:szCs w:val="28"/>
        </w:rPr>
      </w:pPr>
      <w:r>
        <w:rPr>
          <w:rFonts w:hint="eastAsia"/>
          <w:sz w:val="28"/>
          <w:szCs w:val="28"/>
        </w:rPr>
        <w:t>2021年度财政拨款支出年初预算349.44万元，支出决算399.44万元，完成年初预算的114.30%。其中：</w:t>
      </w:r>
    </w:p>
    <w:p>
      <w:pPr>
        <w:spacing w:line="220" w:lineRule="atLeast"/>
        <w:ind w:firstLine="560" w:firstLineChars="200"/>
        <w:rPr>
          <w:rFonts w:hint="eastAsia"/>
          <w:sz w:val="28"/>
          <w:szCs w:val="28"/>
        </w:rPr>
      </w:pPr>
      <w:r>
        <w:rPr>
          <w:rFonts w:hint="eastAsia"/>
          <w:sz w:val="28"/>
          <w:szCs w:val="28"/>
        </w:rPr>
        <w:t>一般公共服务支出年初预算101.81万元，支出决算121.81万元完成年初预算的119.64%，用于基本工资、奖金、补贴及各类保险支出，较上年决算增加6.47万元，增长5.61%，主要原因单位增加一人; 公共安全（类）支出年初预算0万元，支出决算0万元完成年初预算的0%，较上年决算增加0万元，增长0%，主要原因无; 教育支出年初预算0万元，支出决算0万元完成年初预算的0%，较上年决算增加0万元，增长0%，主要原因无; 科学技术支出年初预算0万元，支出决算0万元完成年初预算的0%，较上年决算增加0万元，增长0%，主要原因无; 文化旅游体育与传媒支出年初预算209.74万元，支出决算242.50万元完成年初预算的115.62%，用于展览馆的改造工程，较上年决算增加176.82万元，增长269.21%，主要原因展览馆工程增加; 社会保障和就业支出年初预算16.38万元，支出决算16.38万元完成年初预算的100%，用于单位基本养老保险费较上年决算增加0.85万元，增长5.47%，主要原因单位增加一人; 卫生健康支出年初预算7.79万元，支出决算7.79万元完成年初预算的100%，用于职工医疗保险及其它社会保障费较上年决算增加0.31万元，增长4.14%，主要原因单位增加一人; 节能环保支出年初预算0万元，支出决算0万元完成年初预算的0%，较上年决算增加0万元，增长0%，主要原因无; 城乡社区支出年初预算0万元，支出决算0万元完成年初预算的0%，较上年决算增加0万元，增长0%，主要原因无; 农林水支出年初预算0万元，支出决算0万元完成年初预算的0%，较上年决算增加0万元，增长0%，主要原因无; 交通运输支出年初预算0万元，支出决算0万元完成年初预算的0%，较上年决算增加0万元，增长0%，主要原因无; 资源勘探工业信息等支出年初预算0万元，支出决算0万元完成年初预算的0%，较上年决算增加0万元，增长0%，主要原因无; 商业服务业等支出年初预算0万元，支出决算0万元完成年初预算的0%，较上年决算增加0万元，增长0%，主要原因无; 金融支出年初预算0万元，支出决算0万元完成年初预算的0%，较上年决算增加0万元，增长0%，主要原因无.; 援助其他地区支出年初预算0万元，支出决算0万元完成年初预算的0%，较上年决算增加0万元，增长0%，主要原因无; 自然资源海洋气象等支出年初预算0万元，支出决算0万元完成年初预算的0%，较上年决算增加0万元，增长0%，主要原因无; 住房保障支出年初预算13.72万元，支出决算13.72万元完成年初预算的100%，用于住房公积金较上年决算增加0.64万元，增长4.89%，主要原因单位增加一人; 粮油物资储备支出年初预算0万元，支出决算0万元完成年初预算的0%，较上年决算增加0万元，增长%，主要原因无; 国有资本经营预算支出年初预算0万元，支出决算0万元完成年初预算的0%，较上年决算增加0万元，增长0%，主要原因无; 灾害防治及应急管理支出年初预算0万元，支出决算0万元完成年初预算的0%，较上年决算增加0万元，增长0%，主要原因无; 其他支出年初预算0万元，支出决算0万元完成年初预算的0%，较上年决算增加0万元，增长0%，主要原因无; 债务还本支出年初预算0万元，支出决算0万元完成年初预算的0%，较上年决算增加0万元，增长0%，主要原因无; 债务付息支出年初预算0万元，支出决算0万元完成年初预算的0%，较上年决算增加0万元，增长0%，主要原因无; 抗疫特别国债安排的支出年初预算0万元，支出决算0万元完成年初预算的0%，较上年决算增加0万元，增长0%，主要原因无;</w:t>
      </w:r>
    </w:p>
    <w:p>
      <w:pPr>
        <w:spacing w:line="220" w:lineRule="atLeast"/>
        <w:ind w:firstLine="560" w:firstLineChars="200"/>
        <w:rPr>
          <w:b/>
          <w:sz w:val="28"/>
          <w:szCs w:val="28"/>
        </w:rPr>
      </w:pPr>
      <w:r>
        <w:rPr>
          <w:rFonts w:hint="eastAsia"/>
          <w:b/>
          <w:sz w:val="28"/>
          <w:szCs w:val="28"/>
        </w:rPr>
        <w:t>六、一般公共预算财政拨款基本支出决算情况说明</w:t>
      </w:r>
    </w:p>
    <w:p>
      <w:pPr>
        <w:autoSpaceDE w:val="0"/>
        <w:autoSpaceDN w:val="0"/>
        <w:ind w:firstLine="560" w:firstLineChars="200"/>
        <w:rPr>
          <w:rFonts w:ascii="仿宋_GB2312" w:hAnsi="仿宋" w:eastAsia="仿宋_GB2312"/>
          <w:sz w:val="32"/>
          <w:szCs w:val="32"/>
        </w:rPr>
      </w:pPr>
      <w:r>
        <w:rPr>
          <w:rFonts w:hint="eastAsia"/>
          <w:sz w:val="28"/>
          <w:szCs w:val="28"/>
        </w:rPr>
        <w:t>2021年度财政拨款基本支出162.45万元，其中：人员经费154.95万元，主要包括</w:t>
      </w:r>
      <w:r>
        <w:rPr>
          <w:sz w:val="28"/>
          <w:szCs w:val="28"/>
        </w:rPr>
        <w:t>基本工资、津贴补贴、奖金、社会保障缴费、绩效工资、其他工资福利支出、奖励金、住房公积金、</w:t>
      </w:r>
      <w:r>
        <w:rPr>
          <w:rFonts w:hint="eastAsia"/>
          <w:sz w:val="28"/>
          <w:szCs w:val="28"/>
        </w:rPr>
        <w:t>；公用经费7.51万元，主要包括办公费、水费、电费、邮电费、差旅费、维修（护）费、会议费、培训费、劳务费、委托业务费、工会经费、福利费、其他商品和服务支出、办公设备购置等。</w:t>
      </w:r>
    </w:p>
    <w:p>
      <w:pPr>
        <w:spacing w:line="220" w:lineRule="atLeast"/>
        <w:ind w:firstLine="560" w:firstLineChars="200"/>
        <w:rPr>
          <w:b/>
          <w:sz w:val="28"/>
          <w:szCs w:val="28"/>
        </w:rPr>
      </w:pPr>
      <w:r>
        <w:rPr>
          <w:rFonts w:hint="eastAsia"/>
          <w:b/>
          <w:sz w:val="28"/>
          <w:szCs w:val="28"/>
        </w:rPr>
        <w:t>七、一般公共预算财政拨款“三公”经费支出决算情况说明</w:t>
      </w:r>
    </w:p>
    <w:p>
      <w:pPr>
        <w:spacing w:line="220" w:lineRule="atLeast"/>
        <w:ind w:firstLine="560" w:firstLineChars="200"/>
        <w:rPr>
          <w:b/>
          <w:sz w:val="28"/>
          <w:szCs w:val="28"/>
        </w:rPr>
      </w:pPr>
      <w:r>
        <w:rPr>
          <w:rFonts w:hint="eastAsia"/>
          <w:b/>
          <w:sz w:val="28"/>
          <w:szCs w:val="28"/>
        </w:rPr>
        <w:t>（一）“三公”经费财政拨款支出决算总体情况说明。</w:t>
      </w:r>
    </w:p>
    <w:p>
      <w:pPr>
        <w:spacing w:line="220" w:lineRule="atLeast"/>
        <w:ind w:firstLine="560" w:firstLineChars="200"/>
        <w:rPr>
          <w:sz w:val="28"/>
          <w:szCs w:val="28"/>
        </w:rPr>
      </w:pPr>
      <w:r>
        <w:rPr>
          <w:rFonts w:hint="eastAsia"/>
          <w:sz w:val="28"/>
          <w:szCs w:val="28"/>
        </w:rPr>
        <w:t>2021年度“三公”经费财政拨款支出预算0万元，支出决算0万元，完成预算的0%，比上年增加-0.9万元，增长-100%，主要原因是：申纪兰去世，无公务用车开销。</w:t>
      </w:r>
    </w:p>
    <w:p>
      <w:pPr>
        <w:spacing w:line="220" w:lineRule="atLeast"/>
        <w:ind w:firstLine="560" w:firstLineChars="200"/>
        <w:rPr>
          <w:b/>
          <w:sz w:val="28"/>
          <w:szCs w:val="28"/>
        </w:rPr>
      </w:pPr>
      <w:r>
        <w:rPr>
          <w:rFonts w:hint="eastAsia"/>
          <w:b/>
          <w:sz w:val="28"/>
          <w:szCs w:val="28"/>
        </w:rPr>
        <w:t>（二）“三公”经费财政拨款支出决算具体情况说明。</w:t>
      </w:r>
    </w:p>
    <w:p>
      <w:pPr>
        <w:ind w:firstLine="636"/>
        <w:rPr>
          <w:rFonts w:ascii="仿宋_GB2312" w:hAnsi="仿宋" w:eastAsia="仿宋_GB2312"/>
          <w:b/>
          <w:sz w:val="32"/>
          <w:szCs w:val="32"/>
        </w:rPr>
      </w:pPr>
      <w:r>
        <w:rPr>
          <w:rFonts w:hint="eastAsia" w:ascii="仿宋_GB2312" w:hAnsi="仿宋" w:eastAsia="仿宋_GB2312"/>
          <w:b/>
          <w:sz w:val="32"/>
          <w:szCs w:val="32"/>
        </w:rPr>
        <w:t>（1）与预算数比较</w:t>
      </w:r>
    </w:p>
    <w:tbl>
      <w:tblPr>
        <w:tblStyle w:val="6"/>
        <w:tblW w:w="8381" w:type="dxa"/>
        <w:tblInd w:w="91" w:type="dxa"/>
        <w:tblLayout w:type="fixed"/>
        <w:tblCellMar>
          <w:top w:w="0" w:type="dxa"/>
          <w:left w:w="108" w:type="dxa"/>
          <w:bottom w:w="0" w:type="dxa"/>
          <w:right w:w="108" w:type="dxa"/>
        </w:tblCellMar>
      </w:tblPr>
      <w:tblGrid>
        <w:gridCol w:w="2876"/>
        <w:gridCol w:w="1819"/>
        <w:gridCol w:w="1843"/>
        <w:gridCol w:w="1843"/>
      </w:tblGrid>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2021三公经费明细</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预算数</w:t>
            </w:r>
            <w:r>
              <w:rPr>
                <w:rFonts w:hint="eastAsia" w:ascii="宋体" w:hAnsi="宋体" w:cs="宋体"/>
                <w:b/>
                <w:bCs/>
                <w:color w:val="000000"/>
              </w:rPr>
              <w:t>（万元）</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决算数</w:t>
            </w:r>
            <w:r>
              <w:rPr>
                <w:rFonts w:hint="eastAsia" w:ascii="宋体" w:hAnsi="宋体" w:cs="宋体"/>
                <w:b/>
                <w:bCs/>
                <w:color w:val="000000"/>
              </w:rPr>
              <w:t>（万元）</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000000"/>
                <w:sz w:val="20"/>
                <w:szCs w:val="20"/>
              </w:rPr>
            </w:pPr>
            <w:r>
              <w:rPr>
                <w:rFonts w:hint="eastAsia" w:ascii="宋体" w:hAnsi="宋体" w:cs="宋体"/>
                <w:b/>
                <w:bCs/>
                <w:color w:val="000000"/>
                <w:sz w:val="20"/>
                <w:szCs w:val="20"/>
              </w:rPr>
              <w:t>决算完成预算比例%</w:t>
            </w:r>
          </w:p>
        </w:tc>
      </w:tr>
      <w:tr>
        <w:tblPrEx>
          <w:tblCellMar>
            <w:top w:w="0" w:type="dxa"/>
            <w:left w:w="108" w:type="dxa"/>
            <w:bottom w:w="0" w:type="dxa"/>
            <w:right w:w="108" w:type="dxa"/>
          </w:tblCellMar>
        </w:tblPrEx>
        <w:trPr>
          <w:trHeight w:val="552"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color w:val="000000"/>
              </w:rPr>
            </w:pPr>
            <w:r>
              <w:rPr>
                <w:rFonts w:hint="eastAsia" w:ascii="宋体" w:hAnsi="宋体" w:cs="宋体"/>
                <w:b/>
                <w:bCs/>
                <w:color w:val="000000"/>
              </w:rPr>
              <w:t>合计</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rPr>
            </w:pPr>
            <w:r>
              <w:rPr>
                <w:rFonts w:hint="eastAsia" w:ascii="宋体" w:hAnsi="宋体" w:cs="宋体"/>
                <w:color w:val="000000"/>
              </w:rPr>
              <w:t>0</w:t>
            </w:r>
          </w:p>
        </w:tc>
      </w:tr>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因公出国（境）费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rPr>
            </w:pPr>
            <w:r>
              <w:rPr>
                <w:rFonts w:hint="eastAsia" w:ascii="宋体" w:hAnsi="宋体" w:cs="宋体"/>
                <w:color w:val="000000"/>
              </w:rPr>
              <w:t>0</w:t>
            </w:r>
          </w:p>
        </w:tc>
      </w:tr>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公务用车购置及运行维护费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rPr>
            </w:pPr>
            <w:r>
              <w:rPr>
                <w:rFonts w:hint="eastAsia" w:ascii="宋体" w:hAnsi="宋体" w:cs="宋体"/>
                <w:color w:val="000000"/>
              </w:rPr>
              <w:t>0</w:t>
            </w:r>
          </w:p>
        </w:tc>
      </w:tr>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 xml:space="preserve">   其中：公务用车购置费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rPr>
            </w:pPr>
            <w:r>
              <w:rPr>
                <w:rFonts w:hint="eastAsia" w:ascii="宋体" w:hAnsi="宋体" w:cs="宋体"/>
                <w:color w:val="000000"/>
              </w:rPr>
              <w:t>0</w:t>
            </w:r>
          </w:p>
        </w:tc>
      </w:tr>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0"/>
                <w:szCs w:val="20"/>
              </w:rPr>
            </w:pPr>
            <w:r>
              <w:rPr>
                <w:rFonts w:hint="eastAsia" w:ascii="宋体" w:hAnsi="宋体" w:cs="宋体"/>
                <w:color w:val="000000"/>
              </w:rPr>
              <w:t xml:space="preserve">      </w:t>
            </w:r>
            <w:r>
              <w:rPr>
                <w:rFonts w:hint="eastAsia" w:ascii="宋体" w:hAnsi="宋体" w:cs="宋体"/>
                <w:color w:val="000000"/>
                <w:sz w:val="20"/>
                <w:szCs w:val="20"/>
              </w:rPr>
              <w:t xml:space="preserve">  公务用车运行维护费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rPr>
            </w:pPr>
            <w:r>
              <w:rPr>
                <w:rFonts w:hint="eastAsia" w:ascii="宋体" w:hAnsi="宋体" w:cs="宋体"/>
                <w:color w:val="000000"/>
              </w:rPr>
              <w:t>0</w:t>
            </w:r>
          </w:p>
        </w:tc>
      </w:tr>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公务接待费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rPr>
            </w:pPr>
            <w:r>
              <w:rPr>
                <w:rFonts w:hint="eastAsia" w:ascii="宋体" w:hAnsi="宋体" w:cs="宋体"/>
                <w:color w:val="000000"/>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rPr>
            </w:pPr>
            <w:r>
              <w:rPr>
                <w:rFonts w:hint="eastAsia" w:ascii="宋体" w:hAnsi="宋体" w:cs="宋体"/>
                <w:color w:val="000000"/>
              </w:rPr>
              <w:t>0</w:t>
            </w:r>
          </w:p>
        </w:tc>
      </w:tr>
    </w:tbl>
    <w:p>
      <w:pPr>
        <w:rPr>
          <w:rFonts w:ascii="仿宋_GB2312" w:hAnsi="仿宋" w:eastAsia="仿宋_GB2312"/>
          <w:b/>
          <w:sz w:val="32"/>
          <w:szCs w:val="32"/>
        </w:rPr>
      </w:pPr>
    </w:p>
    <w:p>
      <w:pPr>
        <w:ind w:firstLine="643" w:firstLineChars="200"/>
        <w:rPr>
          <w:rFonts w:ascii="仿宋_GB2312" w:hAnsi="仿宋" w:eastAsia="仿宋_GB2312"/>
          <w:b/>
          <w:sz w:val="32"/>
          <w:szCs w:val="32"/>
        </w:rPr>
      </w:pPr>
      <w:r>
        <w:rPr>
          <w:rFonts w:hint="eastAsia" w:ascii="仿宋_GB2312" w:hAnsi="仿宋" w:eastAsia="仿宋_GB2312"/>
          <w:b/>
          <w:sz w:val="32"/>
          <w:szCs w:val="32"/>
        </w:rPr>
        <w:t>（2）上下年度比较</w:t>
      </w:r>
    </w:p>
    <w:tbl>
      <w:tblPr>
        <w:tblStyle w:val="6"/>
        <w:tblW w:w="8431" w:type="dxa"/>
        <w:tblInd w:w="91" w:type="dxa"/>
        <w:tblLayout w:type="fixed"/>
        <w:tblCellMar>
          <w:top w:w="0" w:type="dxa"/>
          <w:left w:w="108" w:type="dxa"/>
          <w:bottom w:w="0" w:type="dxa"/>
          <w:right w:w="108" w:type="dxa"/>
        </w:tblCellMar>
      </w:tblPr>
      <w:tblGrid>
        <w:gridCol w:w="2711"/>
        <w:gridCol w:w="1701"/>
        <w:gridCol w:w="1417"/>
        <w:gridCol w:w="1418"/>
        <w:gridCol w:w="1184"/>
      </w:tblGrid>
      <w:tr>
        <w:tblPrEx>
          <w:tblCellMar>
            <w:top w:w="0" w:type="dxa"/>
            <w:left w:w="108" w:type="dxa"/>
            <w:bottom w:w="0" w:type="dxa"/>
            <w:right w:w="108" w:type="dxa"/>
          </w:tblCellMar>
        </w:tblPrEx>
        <w:trPr>
          <w:trHeight w:val="510" w:hRule="atLeast"/>
        </w:trPr>
        <w:tc>
          <w:tcPr>
            <w:tcW w:w="271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三公经费明细</w:t>
            </w:r>
          </w:p>
        </w:tc>
        <w:tc>
          <w:tcPr>
            <w:tcW w:w="31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比上年增加</w:t>
            </w:r>
          </w:p>
        </w:tc>
        <w:tc>
          <w:tcPr>
            <w:tcW w:w="1184" w:type="dxa"/>
            <w:vMerge w:val="restart"/>
            <w:tcBorders>
              <w:top w:val="single" w:color="auto" w:sz="4" w:space="0"/>
              <w:left w:val="nil"/>
              <w:right w:val="single" w:color="auto" w:sz="4" w:space="0"/>
            </w:tcBorders>
          </w:tcPr>
          <w:p>
            <w:pPr>
              <w:jc w:val="center"/>
              <w:rPr>
                <w:rFonts w:ascii="宋体" w:hAnsi="宋体" w:cs="宋体"/>
                <w:b/>
                <w:bCs/>
                <w:color w:val="000000"/>
              </w:rPr>
            </w:pPr>
            <w:r>
              <w:rPr>
                <w:rFonts w:hint="eastAsia" w:ascii="宋体" w:hAnsi="宋体" w:cs="宋体"/>
                <w:b/>
                <w:bCs/>
                <w:color w:val="000000"/>
              </w:rPr>
              <w:t>比上年增加比例%</w:t>
            </w:r>
          </w:p>
        </w:tc>
      </w:tr>
      <w:tr>
        <w:tblPrEx>
          <w:tblCellMar>
            <w:top w:w="0" w:type="dxa"/>
            <w:left w:w="108" w:type="dxa"/>
            <w:bottom w:w="0" w:type="dxa"/>
            <w:right w:w="108" w:type="dxa"/>
          </w:tblCellMar>
        </w:tblPrEx>
        <w:trPr>
          <w:trHeight w:val="292" w:hRule="atLeast"/>
        </w:trPr>
        <w:tc>
          <w:tcPr>
            <w:tcW w:w="2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2021-2020</w:t>
            </w:r>
          </w:p>
        </w:tc>
        <w:tc>
          <w:tcPr>
            <w:tcW w:w="1184" w:type="dxa"/>
            <w:vMerge w:val="continue"/>
            <w:tcBorders>
              <w:left w:val="single" w:color="auto" w:sz="4" w:space="0"/>
              <w:bottom w:val="single" w:color="auto" w:sz="4" w:space="0"/>
              <w:right w:val="single" w:color="auto" w:sz="4" w:space="0"/>
            </w:tcBorders>
          </w:tcPr>
          <w:p>
            <w:pPr>
              <w:jc w:val="center"/>
              <w:rPr>
                <w:rFonts w:ascii="宋体" w:hAnsi="宋体" w:cs="宋体"/>
                <w:b/>
                <w:bCs/>
                <w:color w:val="000000"/>
              </w:rPr>
            </w:pP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b/>
                <w:bCs/>
                <w:color w:val="000000"/>
              </w:rPr>
            </w:pPr>
            <w:r>
              <w:rPr>
                <w:rFonts w:hint="eastAsia" w:ascii="宋体" w:hAnsi="宋体" w:cs="宋体"/>
                <w:b/>
                <w:bCs/>
                <w:color w:val="000000"/>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9008</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-9008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-100</w:t>
            </w: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color w:val="000000"/>
                <w:sz w:val="18"/>
                <w:szCs w:val="18"/>
              </w:rPr>
            </w:pPr>
            <w:r>
              <w:rPr>
                <w:rFonts w:hint="eastAsia" w:ascii="宋体" w:hAnsi="宋体" w:cs="宋体"/>
                <w:color w:val="000000"/>
                <w:sz w:val="18"/>
                <w:szCs w:val="18"/>
              </w:rPr>
              <w:t>因公出国（境）费</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18"/>
                <w:szCs w:val="18"/>
              </w:rPr>
            </w:pPr>
            <w:r>
              <w:rPr>
                <w:rFonts w:hint="eastAsia" w:ascii="宋体" w:hAnsi="宋体" w:cs="宋体"/>
                <w:color w:val="000000"/>
                <w:sz w:val="18"/>
                <w:szCs w:val="18"/>
              </w:rPr>
              <w:t>公务用车购置及运行维护费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9008</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-9008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-100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18"/>
                <w:szCs w:val="18"/>
              </w:rPr>
            </w:pPr>
            <w:r>
              <w:rPr>
                <w:rFonts w:hint="eastAsia" w:ascii="宋体" w:hAnsi="宋体" w:cs="宋体"/>
                <w:color w:val="000000"/>
                <w:sz w:val="18"/>
                <w:szCs w:val="18"/>
              </w:rPr>
              <w:t xml:space="preserve">   其中：公务用车购置费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18"/>
                <w:szCs w:val="18"/>
              </w:rPr>
            </w:pPr>
            <w:r>
              <w:rPr>
                <w:rFonts w:hint="eastAsia" w:ascii="宋体" w:hAnsi="宋体" w:cs="宋体"/>
                <w:color w:val="000000"/>
                <w:sz w:val="18"/>
                <w:szCs w:val="18"/>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9008</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-9008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-100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18"/>
                <w:szCs w:val="18"/>
              </w:rPr>
            </w:pPr>
            <w:r>
              <w:rPr>
                <w:rFonts w:hint="eastAsia" w:ascii="宋体" w:hAnsi="宋体" w:cs="宋体"/>
                <w:color w:val="000000"/>
                <w:sz w:val="18"/>
                <w:szCs w:val="18"/>
              </w:rPr>
              <w:t>公务接待费</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0</w:t>
            </w:r>
          </w:p>
        </w:tc>
      </w:tr>
    </w:tbl>
    <w:p>
      <w:pPr>
        <w:ind w:firstLine="636"/>
        <w:rPr>
          <w:rFonts w:ascii="仿宋_GB2312" w:hAnsi="仿宋" w:eastAsia="仿宋_GB2312"/>
          <w:b/>
          <w:sz w:val="32"/>
          <w:szCs w:val="32"/>
        </w:rPr>
      </w:pPr>
      <w:r>
        <w:rPr>
          <w:rFonts w:hint="eastAsia" w:ascii="仿宋_GB2312" w:hAnsi="仿宋" w:eastAsia="仿宋_GB2312"/>
          <w:b/>
          <w:sz w:val="32"/>
          <w:szCs w:val="32"/>
        </w:rPr>
        <w:t>（3）具体情况说明</w:t>
      </w:r>
    </w:p>
    <w:p>
      <w:pPr>
        <w:ind w:firstLine="560" w:firstLineChars="200"/>
        <w:rPr>
          <w:rFonts w:ascii="微软雅黑" w:hAnsi="微软雅黑" w:cs="宋体"/>
          <w:color w:val="000000"/>
          <w:sz w:val="28"/>
          <w:szCs w:val="28"/>
        </w:rPr>
      </w:pPr>
      <w:r>
        <w:rPr>
          <w:rFonts w:hint="eastAsia" w:ascii="微软雅黑" w:hAnsi="微软雅黑"/>
          <w:color w:val="000000"/>
          <w:sz w:val="28"/>
          <w:szCs w:val="28"/>
        </w:rPr>
        <w:t>2021年一般公共预算安排的“三公”经费年</w:t>
      </w:r>
      <w:r>
        <w:rPr>
          <w:rFonts w:hint="eastAsia" w:ascii="微软雅黑" w:hAnsi="微软雅黑"/>
          <w:sz w:val="28"/>
          <w:szCs w:val="28"/>
        </w:rPr>
        <w:t>初预算0万元，支出决算</w:t>
      </w:r>
      <w:r>
        <w:rPr>
          <w:rFonts w:hint="eastAsia" w:ascii="微软雅黑" w:hAnsi="微软雅黑" w:cs="宋体"/>
          <w:color w:val="000000"/>
          <w:sz w:val="28"/>
          <w:szCs w:val="28"/>
        </w:rPr>
        <w:t>0</w:t>
      </w:r>
      <w:r>
        <w:rPr>
          <w:rFonts w:hint="eastAsia" w:ascii="微软雅黑" w:hAnsi="微软雅黑"/>
          <w:sz w:val="28"/>
          <w:szCs w:val="28"/>
        </w:rPr>
        <w:t>万元，完成年初预算的0%</w:t>
      </w:r>
      <w:r>
        <w:rPr>
          <w:rFonts w:hint="eastAsia" w:ascii="微软雅黑" w:hAnsi="微软雅黑"/>
          <w:color w:val="000000"/>
          <w:sz w:val="28"/>
          <w:szCs w:val="28"/>
        </w:rPr>
        <w:t>，比上年增加-9008万元，增长-100%。其中：因公出国（境）费用年初预算0万元，支出决算0万元，完成年初预算的0%，比上年增加0万元，增长0%，原因是我单位2021年度未发生因公出国（境）费用（全年使用一般公共预算拨款支出安排的出国（境）团组0个，累计0人次）；其中公务用车购置及运行维护费用年</w:t>
      </w:r>
      <w:r>
        <w:rPr>
          <w:rFonts w:hint="eastAsia" w:ascii="微软雅黑" w:hAnsi="微软雅黑"/>
          <w:sz w:val="28"/>
          <w:szCs w:val="28"/>
        </w:rPr>
        <w:t>初预算</w:t>
      </w:r>
      <w:r>
        <w:rPr>
          <w:rFonts w:hint="eastAsia" w:ascii="微软雅黑" w:hAnsi="微软雅黑" w:cs="宋体"/>
          <w:color w:val="000000"/>
          <w:sz w:val="28"/>
          <w:szCs w:val="28"/>
        </w:rPr>
        <w:t>　0</w:t>
      </w:r>
      <w:r>
        <w:rPr>
          <w:rFonts w:hint="eastAsia" w:ascii="微软雅黑" w:hAnsi="微软雅黑"/>
          <w:sz w:val="28"/>
          <w:szCs w:val="28"/>
        </w:rPr>
        <w:t>万元，支出决算</w:t>
      </w:r>
      <w:r>
        <w:rPr>
          <w:rFonts w:hint="eastAsia" w:ascii="微软雅黑" w:hAnsi="微软雅黑" w:cs="宋体"/>
          <w:color w:val="000000"/>
          <w:sz w:val="28"/>
          <w:szCs w:val="28"/>
        </w:rPr>
        <w:t>　0</w:t>
      </w:r>
      <w:r>
        <w:rPr>
          <w:rFonts w:hint="eastAsia" w:ascii="微软雅黑" w:hAnsi="微软雅黑"/>
          <w:sz w:val="28"/>
          <w:szCs w:val="28"/>
        </w:rPr>
        <w:t>万元，完成年初预算的0%</w:t>
      </w:r>
      <w:r>
        <w:rPr>
          <w:rFonts w:hint="eastAsia" w:ascii="微软雅黑" w:hAnsi="微软雅黑"/>
          <w:color w:val="000000"/>
          <w:sz w:val="28"/>
          <w:szCs w:val="28"/>
        </w:rPr>
        <w:t>，比上年增加-9008万元，增长-100%（具体：其中公务用车购置费年</w:t>
      </w:r>
      <w:r>
        <w:rPr>
          <w:rFonts w:hint="eastAsia" w:ascii="微软雅黑" w:hAnsi="微软雅黑"/>
          <w:sz w:val="28"/>
          <w:szCs w:val="28"/>
        </w:rPr>
        <w:t>初预算</w:t>
      </w:r>
      <w:r>
        <w:rPr>
          <w:rFonts w:hint="eastAsia" w:ascii="微软雅黑" w:hAnsi="微软雅黑" w:cs="宋体"/>
          <w:color w:val="000000"/>
          <w:sz w:val="28"/>
          <w:szCs w:val="28"/>
        </w:rPr>
        <w:t>　0</w:t>
      </w:r>
      <w:r>
        <w:rPr>
          <w:rFonts w:hint="eastAsia" w:ascii="微软雅黑" w:hAnsi="微软雅黑"/>
          <w:sz w:val="28"/>
          <w:szCs w:val="28"/>
        </w:rPr>
        <w:t>万元，支出决算</w:t>
      </w:r>
      <w:r>
        <w:rPr>
          <w:rFonts w:hint="eastAsia" w:ascii="微软雅黑" w:hAnsi="微软雅黑" w:cs="宋体"/>
          <w:color w:val="000000"/>
          <w:sz w:val="28"/>
          <w:szCs w:val="28"/>
        </w:rPr>
        <w:t>　0</w:t>
      </w:r>
      <w:r>
        <w:rPr>
          <w:rFonts w:hint="eastAsia" w:ascii="微软雅黑" w:hAnsi="微软雅黑"/>
          <w:sz w:val="28"/>
          <w:szCs w:val="28"/>
        </w:rPr>
        <w:t>万元，完成年初预算的0%</w:t>
      </w:r>
      <w:r>
        <w:rPr>
          <w:rFonts w:hint="eastAsia" w:ascii="微软雅黑" w:hAnsi="微软雅黑"/>
          <w:color w:val="000000"/>
          <w:sz w:val="28"/>
          <w:szCs w:val="28"/>
        </w:rPr>
        <w:t>，比上年增加0万元，增长0%，原因是单位没车；公务用车运行维护费年</w:t>
      </w:r>
      <w:r>
        <w:rPr>
          <w:rFonts w:hint="eastAsia" w:ascii="微软雅黑" w:hAnsi="微软雅黑"/>
          <w:sz w:val="28"/>
          <w:szCs w:val="28"/>
        </w:rPr>
        <w:t>初预算</w:t>
      </w:r>
      <w:r>
        <w:rPr>
          <w:rFonts w:hint="eastAsia" w:ascii="微软雅黑" w:hAnsi="微软雅黑" w:cs="宋体"/>
          <w:color w:val="000000"/>
          <w:sz w:val="28"/>
          <w:szCs w:val="28"/>
        </w:rPr>
        <w:t>　0</w:t>
      </w:r>
      <w:r>
        <w:rPr>
          <w:rFonts w:hint="eastAsia" w:ascii="微软雅黑" w:hAnsi="微软雅黑"/>
          <w:sz w:val="28"/>
          <w:szCs w:val="28"/>
        </w:rPr>
        <w:t>万元，支出决算0万元，完成年初预算的0%</w:t>
      </w:r>
      <w:r>
        <w:rPr>
          <w:rFonts w:hint="eastAsia" w:ascii="微软雅黑" w:hAnsi="微软雅黑"/>
          <w:color w:val="000000"/>
          <w:sz w:val="28"/>
          <w:szCs w:val="28"/>
        </w:rPr>
        <w:t>，比上年增加0万元，增长0%，原因是无）；公务接待费年</w:t>
      </w:r>
      <w:r>
        <w:rPr>
          <w:rFonts w:hint="eastAsia" w:ascii="微软雅黑" w:hAnsi="微软雅黑"/>
          <w:sz w:val="28"/>
          <w:szCs w:val="28"/>
        </w:rPr>
        <w:t>初预算</w:t>
      </w:r>
      <w:r>
        <w:rPr>
          <w:rFonts w:hint="eastAsia" w:ascii="微软雅黑" w:hAnsi="微软雅黑" w:cs="宋体"/>
          <w:color w:val="000000"/>
          <w:sz w:val="28"/>
          <w:szCs w:val="28"/>
        </w:rPr>
        <w:t>　0</w:t>
      </w:r>
      <w:r>
        <w:rPr>
          <w:rFonts w:hint="eastAsia" w:ascii="微软雅黑" w:hAnsi="微软雅黑"/>
          <w:sz w:val="28"/>
          <w:szCs w:val="28"/>
        </w:rPr>
        <w:t>万元，支出决算</w:t>
      </w:r>
      <w:r>
        <w:rPr>
          <w:rFonts w:hint="eastAsia" w:ascii="微软雅黑" w:hAnsi="微软雅黑" w:cs="宋体"/>
          <w:color w:val="000000"/>
          <w:sz w:val="28"/>
          <w:szCs w:val="28"/>
        </w:rPr>
        <w:t>　0</w:t>
      </w:r>
      <w:r>
        <w:rPr>
          <w:rFonts w:hint="eastAsia" w:ascii="微软雅黑" w:hAnsi="微软雅黑"/>
          <w:sz w:val="28"/>
          <w:szCs w:val="28"/>
        </w:rPr>
        <w:t>万元，完成年初预算的0%</w:t>
      </w:r>
      <w:r>
        <w:rPr>
          <w:rFonts w:hint="eastAsia" w:ascii="微软雅黑" w:hAnsi="微软雅黑"/>
          <w:color w:val="000000"/>
          <w:sz w:val="28"/>
          <w:szCs w:val="28"/>
        </w:rPr>
        <w:t>，比上年增加0万元，增长0%，原因是无（全年</w:t>
      </w:r>
      <w:r>
        <w:rPr>
          <w:rFonts w:ascii="微软雅黑" w:hAnsi="微软雅黑"/>
          <w:color w:val="000000"/>
          <w:sz w:val="28"/>
          <w:szCs w:val="28"/>
        </w:rPr>
        <w:t>年使用一般公共预算拨款开支的国内公务接待</w:t>
      </w:r>
      <w:r>
        <w:rPr>
          <w:rFonts w:hint="eastAsia" w:ascii="微软雅黑" w:hAnsi="微软雅黑"/>
          <w:color w:val="000000"/>
          <w:sz w:val="28"/>
          <w:szCs w:val="28"/>
        </w:rPr>
        <w:t>0</w:t>
      </w:r>
      <w:r>
        <w:rPr>
          <w:rFonts w:ascii="微软雅黑" w:hAnsi="微软雅黑"/>
          <w:color w:val="000000"/>
          <w:sz w:val="28"/>
          <w:szCs w:val="28"/>
        </w:rPr>
        <w:t>批次，</w:t>
      </w:r>
      <w:r>
        <w:rPr>
          <w:rFonts w:hint="eastAsia" w:ascii="微软雅黑" w:hAnsi="微软雅黑"/>
          <w:color w:val="000000"/>
          <w:sz w:val="28"/>
          <w:szCs w:val="28"/>
        </w:rPr>
        <w:t>0</w:t>
      </w:r>
      <w:r>
        <w:rPr>
          <w:rFonts w:ascii="微软雅黑" w:hAnsi="微软雅黑"/>
          <w:color w:val="000000"/>
          <w:sz w:val="28"/>
          <w:szCs w:val="28"/>
        </w:rPr>
        <w:t>人次</w:t>
      </w:r>
      <w:r>
        <w:rPr>
          <w:rFonts w:hint="eastAsia" w:ascii="微软雅黑" w:hAnsi="微软雅黑"/>
          <w:color w:val="000000"/>
          <w:sz w:val="28"/>
          <w:szCs w:val="28"/>
        </w:rPr>
        <w:t>。）</w:t>
      </w:r>
    </w:p>
    <w:p>
      <w:pPr>
        <w:spacing w:line="220" w:lineRule="atLeast"/>
        <w:ind w:firstLine="560" w:firstLineChars="200"/>
        <w:rPr>
          <w:b/>
          <w:sz w:val="28"/>
          <w:szCs w:val="28"/>
        </w:rPr>
      </w:pPr>
      <w:r>
        <w:rPr>
          <w:rFonts w:hint="eastAsia"/>
          <w:b/>
          <w:sz w:val="28"/>
          <w:szCs w:val="28"/>
        </w:rPr>
        <w:t>八、其他重要事项情况说明</w:t>
      </w:r>
    </w:p>
    <w:p>
      <w:pPr>
        <w:spacing w:line="220" w:lineRule="atLeast"/>
        <w:ind w:firstLine="560" w:firstLineChars="200"/>
        <w:rPr>
          <w:b/>
          <w:sz w:val="28"/>
          <w:szCs w:val="28"/>
        </w:rPr>
      </w:pPr>
      <w:r>
        <w:rPr>
          <w:rFonts w:hint="eastAsia"/>
          <w:b/>
          <w:sz w:val="28"/>
          <w:szCs w:val="28"/>
        </w:rPr>
        <w:t>（一）机关运行经费支出情况说明</w:t>
      </w:r>
    </w:p>
    <w:p>
      <w:pPr>
        <w:spacing w:line="220" w:lineRule="atLeast"/>
        <w:ind w:firstLine="560" w:firstLineChars="200"/>
        <w:rPr>
          <w:sz w:val="28"/>
          <w:szCs w:val="28"/>
        </w:rPr>
      </w:pPr>
      <w:r>
        <w:rPr>
          <w:rFonts w:hint="eastAsia"/>
          <w:sz w:val="28"/>
          <w:szCs w:val="28"/>
        </w:rPr>
        <w:t>2021年机关运行经费支出0万元（与</w:t>
      </w:r>
      <w:r>
        <w:rPr>
          <w:rFonts w:hint="eastAsia"/>
          <w:sz w:val="28"/>
          <w:szCs w:val="28"/>
          <w:lang w:eastAsia="zh-CN"/>
        </w:rPr>
        <w:t>单位</w:t>
      </w:r>
      <w:r>
        <w:rPr>
          <w:rFonts w:hint="eastAsia"/>
          <w:sz w:val="28"/>
          <w:szCs w:val="28"/>
        </w:rPr>
        <w:t>决算中行政单位和参照公务员法管理的事业单位一般公共预算财政拨款基本支出中公用经费之和保持一致），比上年增加-9008万元，增长-100%。主要原因是：申纪兰去世，公务用车收走，本车在单位无经费开销。</w:t>
      </w:r>
    </w:p>
    <w:p>
      <w:pPr>
        <w:spacing w:line="220" w:lineRule="atLeast"/>
        <w:ind w:firstLine="560" w:firstLineChars="200"/>
        <w:rPr>
          <w:b/>
          <w:sz w:val="28"/>
          <w:szCs w:val="28"/>
        </w:rPr>
      </w:pPr>
      <w:r>
        <w:rPr>
          <w:rFonts w:hint="eastAsia"/>
          <w:b/>
          <w:sz w:val="28"/>
          <w:szCs w:val="28"/>
        </w:rPr>
        <w:t>（二）政府采购情况说明</w:t>
      </w:r>
    </w:p>
    <w:p>
      <w:pPr>
        <w:spacing w:line="220" w:lineRule="atLeast"/>
        <w:ind w:firstLine="560" w:firstLineChars="200"/>
        <w:rPr>
          <w:sz w:val="28"/>
          <w:szCs w:val="28"/>
        </w:rPr>
      </w:pPr>
      <w:r>
        <w:rPr>
          <w:rFonts w:hint="eastAsia"/>
          <w:sz w:val="28"/>
          <w:szCs w:val="28"/>
        </w:rPr>
        <w:t>2021年度政府采购支出总额39.5万元，其中：政府采购货物支出39.5万元、政府采购工程支出0万元、政府采购服务支出0万元。政府采购授予中小企业合同金额0万元，占政府采购支出总额的0%。其中：授予小微企业合同金额0万元，占政府采购支出总额的0%.</w:t>
      </w:r>
    </w:p>
    <w:p>
      <w:pPr>
        <w:spacing w:line="220" w:lineRule="atLeast"/>
        <w:ind w:firstLine="560" w:firstLineChars="200"/>
        <w:rPr>
          <w:b/>
          <w:sz w:val="28"/>
          <w:szCs w:val="28"/>
        </w:rPr>
      </w:pPr>
      <w:r>
        <w:rPr>
          <w:rFonts w:hint="eastAsia"/>
          <w:b/>
          <w:sz w:val="28"/>
          <w:szCs w:val="28"/>
        </w:rPr>
        <w:t>（三）国有资产占用情况说明</w:t>
      </w:r>
    </w:p>
    <w:p>
      <w:pPr>
        <w:spacing w:line="220" w:lineRule="atLeast"/>
        <w:ind w:firstLine="560" w:firstLineChars="200"/>
        <w:rPr>
          <w:sz w:val="28"/>
          <w:szCs w:val="28"/>
        </w:rPr>
      </w:pPr>
      <w:r>
        <w:rPr>
          <w:rFonts w:hint="eastAsia"/>
          <w:sz w:val="28"/>
          <w:szCs w:val="28"/>
        </w:rPr>
        <w:t>（1）房屋情况</w:t>
      </w:r>
    </w:p>
    <w:p>
      <w:pPr>
        <w:spacing w:line="220" w:lineRule="atLeast"/>
        <w:ind w:firstLine="560" w:firstLineChars="200"/>
        <w:rPr>
          <w:rFonts w:ascii="仿宋_GB2312" w:hAnsi="楷体" w:eastAsia="仿宋_GB2312" w:cs="仿宋_GB2312"/>
          <w:sz w:val="32"/>
          <w:szCs w:val="32"/>
        </w:rPr>
      </w:pPr>
      <w:r>
        <w:rPr>
          <w:rFonts w:hint="eastAsia"/>
          <w:sz w:val="28"/>
          <w:szCs w:val="28"/>
        </w:rPr>
        <w:t>截至2021年12月31日，本</w:t>
      </w:r>
      <w:r>
        <w:rPr>
          <w:rFonts w:hint="eastAsia"/>
          <w:sz w:val="28"/>
          <w:szCs w:val="28"/>
          <w:lang w:eastAsia="zh-CN"/>
        </w:rPr>
        <w:t>单位</w:t>
      </w:r>
      <w:r>
        <w:rPr>
          <w:rFonts w:hint="eastAsia"/>
          <w:sz w:val="28"/>
          <w:szCs w:val="28"/>
        </w:rPr>
        <w:t>共 旅游接待中心面积1640平方米，价值693.18万元。</w:t>
      </w:r>
    </w:p>
    <w:p>
      <w:pPr>
        <w:ind w:firstLine="636"/>
        <w:rPr>
          <w:sz w:val="28"/>
          <w:szCs w:val="28"/>
        </w:rPr>
      </w:pPr>
      <w:r>
        <w:rPr>
          <w:rFonts w:hint="eastAsia"/>
          <w:sz w:val="28"/>
          <w:szCs w:val="28"/>
        </w:rPr>
        <w:t>（2）车辆及设备情况</w:t>
      </w:r>
    </w:p>
    <w:p>
      <w:pPr>
        <w:ind w:firstLine="636"/>
        <w:rPr>
          <w:sz w:val="28"/>
          <w:szCs w:val="28"/>
        </w:rPr>
      </w:pPr>
      <w:r>
        <w:rPr>
          <w:rFonts w:hint="eastAsia"/>
          <w:sz w:val="28"/>
          <w:szCs w:val="28"/>
        </w:rPr>
        <w:t>截至2021年12月31日，本</w:t>
      </w:r>
      <w:r>
        <w:rPr>
          <w:rFonts w:hint="eastAsia"/>
          <w:sz w:val="28"/>
          <w:szCs w:val="28"/>
          <w:lang w:eastAsia="zh-CN"/>
        </w:rPr>
        <w:t>单位</w:t>
      </w:r>
      <w:r>
        <w:rPr>
          <w:rFonts w:hint="eastAsia"/>
          <w:sz w:val="28"/>
          <w:szCs w:val="28"/>
        </w:rPr>
        <w:t>原有公务用车一辆，事业单位公车改革，我单位公务用车已被收回，目前还没有办理相关手续。</w:t>
      </w:r>
    </w:p>
    <w:p>
      <w:pPr>
        <w:spacing w:line="220" w:lineRule="atLeast"/>
        <w:ind w:firstLine="560" w:firstLineChars="200"/>
        <w:rPr>
          <w:b/>
          <w:sz w:val="28"/>
          <w:szCs w:val="28"/>
        </w:rPr>
      </w:pPr>
      <w:r>
        <w:rPr>
          <w:rFonts w:hint="eastAsia"/>
          <w:b/>
          <w:sz w:val="28"/>
          <w:szCs w:val="28"/>
        </w:rPr>
        <w:t>（四）预算绩效情况说明</w:t>
      </w:r>
    </w:p>
    <w:p>
      <w:pPr>
        <w:spacing w:line="220" w:lineRule="atLeast"/>
        <w:ind w:firstLine="560" w:firstLineChars="200"/>
        <w:rPr>
          <w:b/>
          <w:sz w:val="28"/>
          <w:szCs w:val="28"/>
        </w:rPr>
      </w:pPr>
      <w:r>
        <w:rPr>
          <w:rFonts w:hint="eastAsia"/>
          <w:b/>
          <w:sz w:val="28"/>
          <w:szCs w:val="28"/>
        </w:rPr>
        <w:t>（1）预算绩效管理工作开展情况。</w:t>
      </w:r>
    </w:p>
    <w:p>
      <w:pPr>
        <w:spacing w:line="220" w:lineRule="atLeast"/>
        <w:ind w:firstLine="560" w:firstLineChars="200"/>
        <w:rPr>
          <w:sz w:val="28"/>
          <w:szCs w:val="28"/>
        </w:rPr>
      </w:pPr>
      <w:r>
        <w:rPr>
          <w:rFonts w:hint="eastAsia"/>
          <w:b/>
          <w:sz w:val="28"/>
          <w:szCs w:val="28"/>
        </w:rPr>
        <w:t>应当按照如下格式说明：</w:t>
      </w:r>
      <w:r>
        <w:rPr>
          <w:rFonts w:hint="eastAsia"/>
          <w:sz w:val="28"/>
          <w:szCs w:val="28"/>
        </w:rPr>
        <w:t>根据预算绩效管理要求，我</w:t>
      </w:r>
      <w:r>
        <w:rPr>
          <w:rFonts w:hint="eastAsia"/>
          <w:sz w:val="28"/>
          <w:szCs w:val="28"/>
          <w:lang w:eastAsia="zh-CN"/>
        </w:rPr>
        <w:t>单位</w:t>
      </w:r>
      <w:r>
        <w:rPr>
          <w:rFonts w:hint="eastAsia"/>
          <w:sz w:val="28"/>
          <w:szCs w:val="28"/>
        </w:rPr>
        <w:t>组织对2021年度县级财政预算安排的专项资金类1个项目支出全面开展绩效自评，涉及预算资金150万元，占一般公共预算项目支出总额的62.57%。。</w:t>
      </w:r>
    </w:p>
    <w:p>
      <w:pPr>
        <w:spacing w:line="220" w:lineRule="atLeast"/>
        <w:ind w:firstLine="560" w:firstLineChars="200"/>
        <w:rPr>
          <w:rFonts w:hint="eastAsia"/>
          <w:sz w:val="28"/>
          <w:szCs w:val="28"/>
        </w:rPr>
      </w:pPr>
      <w:r>
        <w:rPr>
          <w:rFonts w:hint="eastAsia"/>
          <w:sz w:val="28"/>
          <w:szCs w:val="28"/>
        </w:rPr>
        <w:t>组织对”“0”等项目开展了</w:t>
      </w:r>
      <w:r>
        <w:rPr>
          <w:rFonts w:hint="eastAsia"/>
          <w:sz w:val="28"/>
          <w:szCs w:val="28"/>
          <w:lang w:eastAsia="zh-CN"/>
        </w:rPr>
        <w:t>单位</w:t>
      </w:r>
      <w:r>
        <w:rPr>
          <w:rFonts w:hint="eastAsia"/>
          <w:sz w:val="28"/>
          <w:szCs w:val="28"/>
        </w:rPr>
        <w:t xml:space="preserve">评价，涉及一般公共预算支出0万元，政府性基金预算支出0元。其中，对“0”等项目分别委托“0”等第三方机构开展绩效评价。从评价情况来看， </w:t>
      </w:r>
    </w:p>
    <w:p>
      <w:pPr>
        <w:spacing w:line="220" w:lineRule="atLeast"/>
        <w:ind w:firstLine="560" w:firstLineChars="200"/>
        <w:rPr>
          <w:sz w:val="28"/>
          <w:szCs w:val="28"/>
        </w:rPr>
      </w:pPr>
      <w:r>
        <w:rPr>
          <w:rFonts w:hint="eastAsia"/>
          <w:sz w:val="28"/>
          <w:szCs w:val="28"/>
        </w:rPr>
        <w:t>我单位没有进行</w:t>
      </w:r>
      <w:r>
        <w:rPr>
          <w:rFonts w:hint="eastAsia"/>
          <w:sz w:val="28"/>
          <w:szCs w:val="28"/>
          <w:lang w:eastAsia="zh-CN"/>
        </w:rPr>
        <w:t>单位</w:t>
      </w:r>
      <w:r>
        <w:rPr>
          <w:rFonts w:hint="eastAsia"/>
          <w:sz w:val="28"/>
          <w:szCs w:val="28"/>
        </w:rPr>
        <w:t>评价。</w:t>
      </w:r>
    </w:p>
    <w:p>
      <w:pPr>
        <w:spacing w:line="220" w:lineRule="atLeast"/>
        <w:ind w:firstLine="560" w:firstLineChars="200"/>
        <w:rPr>
          <w:sz w:val="28"/>
          <w:szCs w:val="28"/>
        </w:rPr>
      </w:pPr>
      <w:r>
        <w:rPr>
          <w:rFonts w:hint="eastAsia"/>
          <w:sz w:val="28"/>
          <w:szCs w:val="28"/>
        </w:rPr>
        <w:t>组织对“0”等0个单位开展整体绩效评价试点，涉及一般公共预算支出0万元，政府性基金预算支出0万元。其中，对“0”等单位整体绩效评价分别委托“0”等第三方机构实施。我单位没有进行整体绩效评价。</w:t>
      </w:r>
    </w:p>
    <w:p>
      <w:pPr>
        <w:spacing w:line="220" w:lineRule="atLeast"/>
        <w:ind w:firstLine="560" w:firstLineChars="200"/>
        <w:rPr>
          <w:color w:val="FF0000"/>
          <w:sz w:val="28"/>
          <w:szCs w:val="28"/>
        </w:rPr>
      </w:pPr>
      <w:r>
        <w:rPr>
          <w:rFonts w:hint="eastAsia"/>
          <w:b/>
          <w:sz w:val="28"/>
          <w:szCs w:val="28"/>
        </w:rPr>
        <w:t>（2）</w:t>
      </w:r>
      <w:r>
        <w:rPr>
          <w:rFonts w:hint="eastAsia"/>
          <w:b/>
          <w:sz w:val="28"/>
          <w:szCs w:val="28"/>
          <w:lang w:eastAsia="zh-CN"/>
        </w:rPr>
        <w:t>单位</w:t>
      </w:r>
      <w:r>
        <w:rPr>
          <w:rFonts w:hint="eastAsia"/>
          <w:b/>
          <w:sz w:val="28"/>
          <w:szCs w:val="28"/>
        </w:rPr>
        <w:t>决算中项目绩效自评结果。</w:t>
      </w:r>
    </w:p>
    <w:p>
      <w:pPr>
        <w:spacing w:line="220" w:lineRule="atLeast"/>
        <w:ind w:firstLine="560" w:firstLineChars="200"/>
        <w:rPr>
          <w:sz w:val="28"/>
          <w:szCs w:val="28"/>
        </w:rPr>
      </w:pPr>
      <w:r>
        <w:rPr>
          <w:rFonts w:hint="eastAsia"/>
          <w:sz w:val="28"/>
          <w:szCs w:val="28"/>
        </w:rPr>
        <w:fldChar w:fldCharType="begin"/>
      </w:r>
      <w:r>
        <w:rPr>
          <w:rFonts w:hint="eastAsia"/>
          <w:sz w:val="28"/>
          <w:szCs w:val="28"/>
        </w:rPr>
        <w:instrText xml:space="preserve"> HYPERLINK "http://10.120.93.141:8088/prototype/" \l "/javascript:;" </w:instrText>
      </w:r>
      <w:r>
        <w:rPr>
          <w:rFonts w:hint="eastAsia"/>
          <w:sz w:val="28"/>
          <w:szCs w:val="28"/>
        </w:rPr>
        <w:fldChar w:fldCharType="separate"/>
      </w:r>
      <w:r>
        <w:rPr>
          <w:rFonts w:hint="eastAsia"/>
          <w:sz w:val="28"/>
          <w:szCs w:val="28"/>
        </w:rPr>
        <w:t>西沟展览馆维修改造短缺资金</w:t>
      </w:r>
      <w:r>
        <w:rPr>
          <w:rFonts w:hint="eastAsia"/>
          <w:sz w:val="28"/>
          <w:szCs w:val="28"/>
        </w:rPr>
        <w:fldChar w:fldCharType="end"/>
      </w:r>
      <w:r>
        <w:rPr>
          <w:rFonts w:hint="eastAsia"/>
          <w:sz w:val="28"/>
          <w:szCs w:val="28"/>
        </w:rPr>
        <w:t>项目绩效自评综述：根据年初设定的绩效目标，项目自评得分为94.84分。全年预算数为150万元，执行数为150万元，完成预算的100%。项目绩效目标完成情</w:t>
      </w:r>
      <w:bookmarkStart w:id="7" w:name="_GoBack"/>
      <w:bookmarkEnd w:id="7"/>
      <w:r>
        <w:rPr>
          <w:rFonts w:hint="eastAsia"/>
          <w:sz w:val="28"/>
          <w:szCs w:val="28"/>
        </w:rPr>
        <w:t>况：保质保量按时完成项目工作，做到专款专用。发现的主要问题及原因：工程大，工期长，工程款分期支付。下一步改进措施：快速解决工程中需要甲方解决问题，当好工地同各个外围界面桥梁。积极协调工程中矛盾问题，合理协调施工次序，已取得最合理的空间交叉次序和流水施工效果。</w:t>
      </w:r>
    </w:p>
    <w:p>
      <w:pPr>
        <w:spacing w:line="220" w:lineRule="atLeast"/>
        <w:ind w:firstLine="2240" w:firstLineChars="800"/>
        <w:jc w:val="both"/>
        <w:rPr>
          <w:sz w:val="28"/>
          <w:szCs w:val="28"/>
        </w:rPr>
      </w:pPr>
      <w:r>
        <w:rPr>
          <w:rFonts w:hint="eastAsia"/>
          <w:sz w:val="28"/>
          <w:szCs w:val="28"/>
        </w:rPr>
        <w:t>西沟展览馆维修改造短缺资金</w:t>
      </w:r>
    </w:p>
    <w:p>
      <w:pPr>
        <w:spacing w:line="220" w:lineRule="atLeast"/>
        <w:ind w:firstLine="560" w:firstLineChars="200"/>
        <w:rPr>
          <w:sz w:val="28"/>
          <w:szCs w:val="28"/>
        </w:rPr>
      </w:pPr>
    </w:p>
    <w:p>
      <w:pPr>
        <w:spacing w:line="220" w:lineRule="atLeast"/>
        <w:ind w:firstLine="560" w:firstLineChars="200"/>
        <w:rPr>
          <w:sz w:val="28"/>
          <w:szCs w:val="28"/>
        </w:rPr>
      </w:pPr>
      <w:r>
        <w:rPr>
          <w:rFonts w:hint="eastAsia"/>
          <w:sz w:val="28"/>
          <w:szCs w:val="28"/>
        </w:rPr>
        <w:t>一、项目基本情况</w:t>
      </w:r>
    </w:p>
    <w:p>
      <w:pPr>
        <w:spacing w:line="220" w:lineRule="atLeast"/>
        <w:ind w:firstLine="560" w:firstLineChars="200"/>
        <w:rPr>
          <w:sz w:val="28"/>
          <w:szCs w:val="28"/>
        </w:rPr>
      </w:pPr>
      <w:r>
        <w:rPr>
          <w:rFonts w:hint="eastAsia"/>
          <w:sz w:val="28"/>
          <w:szCs w:val="28"/>
        </w:rPr>
        <w:t>（一）基本信息</w:t>
      </w:r>
    </w:p>
    <w:p>
      <w:pPr>
        <w:spacing w:line="220" w:lineRule="atLeast"/>
        <w:ind w:firstLine="560" w:firstLineChars="200"/>
        <w:rPr>
          <w:sz w:val="28"/>
          <w:szCs w:val="28"/>
        </w:rPr>
      </w:pPr>
      <w:r>
        <w:rPr>
          <w:rFonts w:hint="eastAsia"/>
          <w:sz w:val="28"/>
          <w:szCs w:val="28"/>
        </w:rPr>
        <w:t>项目基本内容：平财行〔2021〕25号 2018年申请上级资金进行了维修改造，项目设计总投资1103.7万元，需解决剩余资金</w:t>
      </w:r>
    </w:p>
    <w:p>
      <w:pPr>
        <w:spacing w:line="220" w:lineRule="atLeast"/>
        <w:ind w:firstLine="560" w:firstLineChars="200"/>
        <w:rPr>
          <w:sz w:val="28"/>
          <w:szCs w:val="28"/>
        </w:rPr>
      </w:pPr>
      <w:r>
        <w:rPr>
          <w:rFonts w:hint="eastAsia"/>
          <w:sz w:val="28"/>
          <w:szCs w:val="28"/>
        </w:rPr>
        <w:t>项目负责人：郭雪岗</w:t>
      </w:r>
    </w:p>
    <w:p>
      <w:pPr>
        <w:spacing w:line="220" w:lineRule="atLeast"/>
        <w:ind w:firstLine="560" w:firstLineChars="200"/>
        <w:rPr>
          <w:sz w:val="28"/>
          <w:szCs w:val="28"/>
        </w:rPr>
      </w:pPr>
      <w:r>
        <w:rPr>
          <w:rFonts w:hint="eastAsia"/>
          <w:sz w:val="28"/>
          <w:szCs w:val="28"/>
        </w:rPr>
        <w:t>联系人：王海泳</w:t>
      </w:r>
    </w:p>
    <w:p>
      <w:pPr>
        <w:spacing w:line="220" w:lineRule="atLeast"/>
        <w:ind w:firstLine="560" w:firstLineChars="200"/>
        <w:rPr>
          <w:sz w:val="28"/>
          <w:szCs w:val="28"/>
        </w:rPr>
      </w:pPr>
      <w:r>
        <w:rPr>
          <w:rFonts w:hint="eastAsia"/>
          <w:sz w:val="28"/>
          <w:szCs w:val="28"/>
        </w:rPr>
        <w:t>联系电话：15835558989</w:t>
      </w:r>
    </w:p>
    <w:p>
      <w:pPr>
        <w:spacing w:line="220" w:lineRule="atLeast"/>
        <w:ind w:firstLine="560" w:firstLineChars="200"/>
        <w:rPr>
          <w:sz w:val="28"/>
          <w:szCs w:val="28"/>
        </w:rPr>
      </w:pPr>
      <w:r>
        <w:rPr>
          <w:rFonts w:hint="eastAsia"/>
          <w:sz w:val="28"/>
          <w:szCs w:val="28"/>
        </w:rPr>
        <w:t>项目存在的主要问题：工程大，工期长，工程款分期支付。</w:t>
      </w:r>
    </w:p>
    <w:p>
      <w:pPr>
        <w:spacing w:line="220" w:lineRule="atLeast"/>
        <w:ind w:firstLine="560" w:firstLineChars="200"/>
        <w:rPr>
          <w:sz w:val="28"/>
          <w:szCs w:val="28"/>
        </w:rPr>
      </w:pPr>
      <w:r>
        <w:rPr>
          <w:rFonts w:hint="eastAsia"/>
          <w:sz w:val="28"/>
          <w:szCs w:val="28"/>
        </w:rPr>
        <w:t>（二）预算资金情况</w:t>
      </w:r>
    </w:p>
    <w:p>
      <w:pPr>
        <w:spacing w:line="220" w:lineRule="atLeast"/>
        <w:ind w:firstLine="560" w:firstLineChars="200"/>
        <w:rPr>
          <w:sz w:val="28"/>
          <w:szCs w:val="28"/>
        </w:rPr>
      </w:pPr>
      <w:r>
        <w:rPr>
          <w:rFonts w:hint="eastAsia"/>
          <w:sz w:val="28"/>
          <w:szCs w:val="28"/>
        </w:rPr>
        <w:t>项目总预算金额：万元；</w:t>
      </w:r>
    </w:p>
    <w:p>
      <w:pPr>
        <w:spacing w:line="220" w:lineRule="atLeast"/>
        <w:ind w:firstLine="560" w:firstLineChars="200"/>
        <w:rPr>
          <w:sz w:val="28"/>
          <w:szCs w:val="28"/>
        </w:rPr>
      </w:pPr>
      <w:r>
        <w:rPr>
          <w:rFonts w:hint="eastAsia"/>
          <w:sz w:val="28"/>
          <w:szCs w:val="28"/>
        </w:rPr>
        <w:t>项目当年预算金额：150万元；</w:t>
      </w:r>
    </w:p>
    <w:p>
      <w:pPr>
        <w:spacing w:line="220" w:lineRule="atLeast"/>
        <w:ind w:firstLine="560" w:firstLineChars="200"/>
        <w:rPr>
          <w:sz w:val="28"/>
          <w:szCs w:val="28"/>
        </w:rPr>
      </w:pPr>
      <w:bookmarkStart w:id="0" w:name="_Toc488925441"/>
      <w:bookmarkStart w:id="1" w:name="_Toc490218263"/>
      <w:bookmarkStart w:id="2" w:name="_Toc517260672"/>
      <w:r>
        <w:rPr>
          <w:rFonts w:hint="eastAsia"/>
          <w:sz w:val="28"/>
          <w:szCs w:val="28"/>
        </w:rPr>
        <w:t>二、</w:t>
      </w:r>
      <w:bookmarkEnd w:id="0"/>
      <w:bookmarkEnd w:id="1"/>
      <w:r>
        <w:rPr>
          <w:rFonts w:hint="eastAsia"/>
          <w:sz w:val="28"/>
          <w:szCs w:val="28"/>
        </w:rPr>
        <w:t>评价结论和绩效分析</w:t>
      </w:r>
      <w:bookmarkEnd w:id="2"/>
    </w:p>
    <w:p>
      <w:pPr>
        <w:spacing w:line="220" w:lineRule="atLeast"/>
        <w:ind w:firstLine="560" w:firstLineChars="200"/>
        <w:rPr>
          <w:sz w:val="28"/>
          <w:szCs w:val="28"/>
        </w:rPr>
      </w:pPr>
      <w:bookmarkStart w:id="3" w:name="_Toc517260673"/>
      <w:r>
        <w:rPr>
          <w:rFonts w:hint="eastAsia"/>
          <w:sz w:val="28"/>
          <w:szCs w:val="28"/>
        </w:rPr>
        <w:t>（一）评价结果</w:t>
      </w:r>
      <w:bookmarkEnd w:id="3"/>
    </w:p>
    <w:p>
      <w:pPr>
        <w:spacing w:line="220" w:lineRule="atLeast"/>
        <w:ind w:firstLine="560" w:firstLineChars="200"/>
        <w:rPr>
          <w:sz w:val="28"/>
          <w:szCs w:val="28"/>
        </w:rPr>
      </w:pPr>
      <w:r>
        <w:rPr>
          <w:rFonts w:hint="eastAsia"/>
          <w:sz w:val="28"/>
          <w:szCs w:val="28"/>
        </w:rPr>
        <w:t>评价得分：94.84</w:t>
      </w:r>
    </w:p>
    <w:p>
      <w:pPr>
        <w:spacing w:line="220" w:lineRule="atLeast"/>
        <w:ind w:firstLine="560" w:firstLineChars="200"/>
        <w:rPr>
          <w:sz w:val="28"/>
          <w:szCs w:val="28"/>
        </w:rPr>
      </w:pPr>
      <w:r>
        <w:rPr>
          <w:rFonts w:hint="eastAsia"/>
          <w:sz w:val="28"/>
          <w:szCs w:val="28"/>
        </w:rPr>
        <w:t>绩效等级：优秀</w:t>
      </w:r>
    </w:p>
    <w:p>
      <w:pPr>
        <w:spacing w:line="220" w:lineRule="atLeast"/>
        <w:ind w:firstLine="560" w:firstLineChars="200"/>
        <w:rPr>
          <w:sz w:val="28"/>
          <w:szCs w:val="28"/>
        </w:rPr>
      </w:pPr>
      <w:bookmarkStart w:id="4" w:name="_Toc517260674"/>
      <w:r>
        <w:rPr>
          <w:rFonts w:hint="eastAsia"/>
          <w:sz w:val="28"/>
          <w:szCs w:val="28"/>
        </w:rPr>
        <w:t>（二）主要绩效及分析</w:t>
      </w:r>
      <w:bookmarkEnd w:id="4"/>
    </w:p>
    <w:p>
      <w:pPr>
        <w:spacing w:line="220" w:lineRule="atLeast"/>
        <w:ind w:firstLine="560" w:firstLineChars="200"/>
        <w:rPr>
          <w:sz w:val="28"/>
          <w:szCs w:val="28"/>
        </w:rPr>
      </w:pPr>
      <w:r>
        <w:rPr>
          <w:rFonts w:hint="eastAsia"/>
          <w:sz w:val="28"/>
          <w:szCs w:val="28"/>
        </w:rPr>
        <w:t>项目主要经验总结: 快速解决工程中需要甲方解决问题，当好工地同各个外围界面桥梁。积极协调工程中矛盾问题，合理协调施工次序，已取得最合理的空间交叉次序和流水施工效果。</w:t>
      </w:r>
    </w:p>
    <w:p>
      <w:pPr>
        <w:spacing w:line="220" w:lineRule="atLeast"/>
        <w:ind w:firstLine="560" w:firstLineChars="200"/>
        <w:rPr>
          <w:sz w:val="28"/>
          <w:szCs w:val="28"/>
        </w:rPr>
      </w:pPr>
      <w:r>
        <w:rPr>
          <w:rFonts w:hint="eastAsia"/>
          <w:sz w:val="28"/>
          <w:szCs w:val="28"/>
        </w:rPr>
        <w:t>已完成指标:</w:t>
      </w:r>
    </w:p>
    <w:tbl>
      <w:tblPr>
        <w:tblStyle w:val="6"/>
        <w:tblW w:w="5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79" w:type="dxa"/>
            <w:shd w:val="clear" w:color="000000" w:fill="BFBFBF"/>
          </w:tcPr>
          <w:p>
            <w:pPr>
              <w:spacing w:line="220" w:lineRule="atLeast"/>
              <w:ind w:firstLine="560" w:firstLineChars="200"/>
              <w:rPr>
                <w:sz w:val="28"/>
                <w:szCs w:val="28"/>
              </w:rPr>
            </w:pPr>
            <w:r>
              <w:rPr>
                <w:rFonts w:hint="eastAsia"/>
                <w:sz w:val="28"/>
                <w:szCs w:val="28"/>
              </w:rPr>
              <w:t>指标名称</w:t>
            </w:r>
          </w:p>
        </w:tc>
        <w:tc>
          <w:tcPr>
            <w:tcW w:w="2268" w:type="dxa"/>
            <w:shd w:val="clear" w:color="000000" w:fill="BFBFBF"/>
          </w:tcPr>
          <w:p>
            <w:pPr>
              <w:spacing w:line="220" w:lineRule="atLeast"/>
              <w:ind w:firstLine="560" w:firstLineChars="200"/>
              <w:rPr>
                <w:sz w:val="28"/>
                <w:szCs w:val="28"/>
              </w:rPr>
            </w:pPr>
            <w:r>
              <w:rPr>
                <w:rFonts w:hint="eastAsia"/>
                <w:sz w:val="28"/>
                <w:szCs w:val="28"/>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spacing w:line="220" w:lineRule="atLeast"/>
              <w:ind w:firstLine="560" w:firstLineChars="200"/>
              <w:rPr>
                <w:sz w:val="28"/>
                <w:szCs w:val="28"/>
              </w:rPr>
            </w:pPr>
            <w:r>
              <w:rPr>
                <w:rFonts w:hint="eastAsia"/>
                <w:sz w:val="28"/>
                <w:szCs w:val="28"/>
              </w:rPr>
              <w:t>预算执行率</w:t>
            </w:r>
          </w:p>
        </w:tc>
        <w:tc>
          <w:tcPr>
            <w:tcW w:w="2268" w:type="dxa"/>
            <w:vAlign w:val="center"/>
          </w:tcPr>
          <w:p>
            <w:pPr>
              <w:spacing w:line="220" w:lineRule="atLeast"/>
              <w:ind w:firstLine="560" w:firstLineChars="200"/>
              <w:rPr>
                <w:sz w:val="28"/>
                <w:szCs w:val="28"/>
              </w:rPr>
            </w:pPr>
            <w:r>
              <w:rPr>
                <w:rFonts w:hint="eastAsia"/>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spacing w:line="220" w:lineRule="atLeast"/>
              <w:rPr>
                <w:sz w:val="28"/>
                <w:szCs w:val="28"/>
              </w:rPr>
            </w:pPr>
            <w:r>
              <w:rPr>
                <w:rFonts w:hint="eastAsia"/>
                <w:sz w:val="28"/>
                <w:szCs w:val="28"/>
              </w:rPr>
              <w:t>展览馆翻修改造</w:t>
            </w:r>
            <w:r>
              <w:rPr>
                <w:rFonts w:hint="eastAsia"/>
                <w:sz w:val="28"/>
                <w:szCs w:val="28"/>
                <w:lang w:eastAsia="zh-CN"/>
              </w:rPr>
              <w:t>面</w:t>
            </w:r>
            <w:r>
              <w:rPr>
                <w:rFonts w:hint="eastAsia"/>
                <w:sz w:val="28"/>
                <w:szCs w:val="28"/>
              </w:rPr>
              <w:t>积</w:t>
            </w:r>
          </w:p>
        </w:tc>
        <w:tc>
          <w:tcPr>
            <w:tcW w:w="2268" w:type="dxa"/>
            <w:vAlign w:val="center"/>
          </w:tcPr>
          <w:p>
            <w:pPr>
              <w:spacing w:line="220" w:lineRule="atLeast"/>
              <w:ind w:firstLine="560" w:firstLineChars="200"/>
              <w:rPr>
                <w:sz w:val="28"/>
                <w:szCs w:val="28"/>
              </w:rPr>
            </w:pPr>
            <w:r>
              <w:rPr>
                <w:rFonts w:hint="eastAsia"/>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spacing w:line="220" w:lineRule="atLeast"/>
              <w:ind w:firstLine="560" w:firstLineChars="200"/>
              <w:rPr>
                <w:sz w:val="28"/>
                <w:szCs w:val="28"/>
              </w:rPr>
            </w:pPr>
            <w:r>
              <w:rPr>
                <w:rFonts w:hint="eastAsia"/>
                <w:sz w:val="28"/>
                <w:szCs w:val="28"/>
              </w:rPr>
              <w:t>更换门窗面积</w:t>
            </w:r>
          </w:p>
        </w:tc>
        <w:tc>
          <w:tcPr>
            <w:tcW w:w="2268" w:type="dxa"/>
            <w:vAlign w:val="center"/>
          </w:tcPr>
          <w:p>
            <w:pPr>
              <w:spacing w:line="220" w:lineRule="atLeast"/>
              <w:ind w:firstLine="560" w:firstLineChars="200"/>
              <w:rPr>
                <w:sz w:val="28"/>
                <w:szCs w:val="28"/>
              </w:rPr>
            </w:pPr>
            <w:r>
              <w:rPr>
                <w:rFonts w:hint="eastAsia"/>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spacing w:line="220" w:lineRule="atLeast"/>
              <w:ind w:firstLine="560" w:firstLineChars="200"/>
              <w:rPr>
                <w:sz w:val="28"/>
                <w:szCs w:val="28"/>
              </w:rPr>
            </w:pPr>
            <w:r>
              <w:rPr>
                <w:rFonts w:hint="eastAsia"/>
                <w:sz w:val="28"/>
                <w:szCs w:val="28"/>
              </w:rPr>
              <w:t>西沟展览馆工程验收合格率</w:t>
            </w:r>
          </w:p>
        </w:tc>
        <w:tc>
          <w:tcPr>
            <w:tcW w:w="2268" w:type="dxa"/>
            <w:vAlign w:val="center"/>
          </w:tcPr>
          <w:p>
            <w:pPr>
              <w:spacing w:line="220" w:lineRule="atLeast"/>
              <w:ind w:firstLine="560" w:firstLineChars="200"/>
              <w:rPr>
                <w:sz w:val="28"/>
                <w:szCs w:val="28"/>
              </w:rPr>
            </w:pPr>
            <w:r>
              <w:rPr>
                <w:rFonts w:hint="eastAsia"/>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spacing w:line="220" w:lineRule="atLeast"/>
              <w:ind w:firstLine="560" w:firstLineChars="200"/>
              <w:rPr>
                <w:sz w:val="28"/>
                <w:szCs w:val="28"/>
              </w:rPr>
            </w:pPr>
            <w:r>
              <w:rPr>
                <w:rFonts w:hint="eastAsia"/>
                <w:sz w:val="28"/>
                <w:szCs w:val="28"/>
              </w:rPr>
              <w:t>西沟展览馆项目完工及时性</w:t>
            </w:r>
          </w:p>
        </w:tc>
        <w:tc>
          <w:tcPr>
            <w:tcW w:w="2268" w:type="dxa"/>
            <w:vAlign w:val="center"/>
          </w:tcPr>
          <w:p>
            <w:pPr>
              <w:spacing w:line="220" w:lineRule="atLeast"/>
              <w:ind w:firstLine="560" w:firstLineChars="200"/>
              <w:rPr>
                <w:sz w:val="28"/>
                <w:szCs w:val="28"/>
              </w:rPr>
            </w:pPr>
            <w:r>
              <w:rPr>
                <w:rFonts w:hint="eastAsi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spacing w:line="220" w:lineRule="atLeast"/>
              <w:ind w:firstLine="560" w:firstLineChars="200"/>
              <w:rPr>
                <w:sz w:val="28"/>
                <w:szCs w:val="28"/>
              </w:rPr>
            </w:pPr>
            <w:r>
              <w:rPr>
                <w:rFonts w:hint="eastAsia"/>
                <w:sz w:val="28"/>
                <w:szCs w:val="28"/>
              </w:rPr>
              <w:t>提升西沟展览馆参观环境</w:t>
            </w:r>
          </w:p>
        </w:tc>
        <w:tc>
          <w:tcPr>
            <w:tcW w:w="2268" w:type="dxa"/>
            <w:vAlign w:val="center"/>
          </w:tcPr>
          <w:p>
            <w:pPr>
              <w:spacing w:line="220" w:lineRule="atLeast"/>
              <w:ind w:firstLine="560" w:firstLineChars="200"/>
              <w:rPr>
                <w:sz w:val="28"/>
                <w:szCs w:val="28"/>
              </w:rPr>
            </w:pPr>
            <w:r>
              <w:rPr>
                <w:rFonts w:hint="eastAsi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spacing w:line="220" w:lineRule="atLeast"/>
              <w:ind w:firstLine="560" w:firstLineChars="200"/>
              <w:rPr>
                <w:sz w:val="28"/>
                <w:szCs w:val="28"/>
              </w:rPr>
            </w:pPr>
            <w:r>
              <w:rPr>
                <w:rFonts w:hint="eastAsia"/>
                <w:sz w:val="28"/>
                <w:szCs w:val="28"/>
              </w:rPr>
              <w:t>长效管理机制</w:t>
            </w:r>
          </w:p>
        </w:tc>
        <w:tc>
          <w:tcPr>
            <w:tcW w:w="2268" w:type="dxa"/>
            <w:vAlign w:val="center"/>
          </w:tcPr>
          <w:p>
            <w:pPr>
              <w:spacing w:line="220" w:lineRule="atLeast"/>
              <w:ind w:firstLine="560" w:firstLineChars="200"/>
              <w:rPr>
                <w:sz w:val="28"/>
                <w:szCs w:val="28"/>
              </w:rPr>
            </w:pPr>
            <w:r>
              <w:rPr>
                <w:rFonts w:hint="eastAsi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spacing w:line="220" w:lineRule="atLeast"/>
              <w:ind w:firstLine="560" w:firstLineChars="200"/>
              <w:rPr>
                <w:sz w:val="28"/>
                <w:szCs w:val="28"/>
              </w:rPr>
            </w:pPr>
            <w:r>
              <w:rPr>
                <w:rFonts w:hint="eastAsia"/>
                <w:sz w:val="28"/>
                <w:szCs w:val="28"/>
              </w:rPr>
              <w:t>参观人员满意度</w:t>
            </w:r>
          </w:p>
        </w:tc>
        <w:tc>
          <w:tcPr>
            <w:tcW w:w="2268" w:type="dxa"/>
            <w:vAlign w:val="center"/>
          </w:tcPr>
          <w:p>
            <w:pPr>
              <w:spacing w:line="220" w:lineRule="atLeast"/>
              <w:ind w:firstLine="560" w:firstLineChars="200"/>
              <w:rPr>
                <w:sz w:val="28"/>
                <w:szCs w:val="28"/>
              </w:rPr>
            </w:pPr>
            <w:r>
              <w:rPr>
                <w:rFonts w:hint="eastAsia"/>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spacing w:line="220" w:lineRule="atLeast"/>
              <w:ind w:firstLine="560" w:firstLineChars="200"/>
              <w:rPr>
                <w:sz w:val="28"/>
                <w:szCs w:val="28"/>
              </w:rPr>
            </w:pPr>
            <w:r>
              <w:rPr>
                <w:rFonts w:hint="eastAsia"/>
                <w:sz w:val="28"/>
                <w:szCs w:val="28"/>
              </w:rPr>
              <w:t>内墙面维修面积</w:t>
            </w:r>
          </w:p>
        </w:tc>
        <w:tc>
          <w:tcPr>
            <w:tcW w:w="2268" w:type="dxa"/>
            <w:vAlign w:val="center"/>
          </w:tcPr>
          <w:p>
            <w:pPr>
              <w:spacing w:line="220" w:lineRule="atLeast"/>
              <w:ind w:firstLine="560" w:firstLineChars="200"/>
              <w:rPr>
                <w:sz w:val="28"/>
                <w:szCs w:val="28"/>
              </w:rPr>
            </w:pPr>
            <w:r>
              <w:rPr>
                <w:rFonts w:hint="eastAsia"/>
                <w:sz w:val="28"/>
                <w:szCs w:val="28"/>
              </w:rPr>
              <w:t>100.00%</w:t>
            </w:r>
          </w:p>
        </w:tc>
      </w:tr>
    </w:tbl>
    <w:p>
      <w:pPr>
        <w:spacing w:line="220" w:lineRule="atLeast"/>
        <w:ind w:firstLine="560" w:firstLineChars="200"/>
        <w:rPr>
          <w:sz w:val="28"/>
          <w:szCs w:val="28"/>
        </w:rPr>
      </w:pPr>
      <w:r>
        <w:rPr>
          <w:rFonts w:hint="eastAsia"/>
          <w:sz w:val="28"/>
          <w:szCs w:val="28"/>
        </w:rPr>
        <w:t>未完成指标</w:t>
      </w:r>
    </w:p>
    <w:tbl>
      <w:tblPr>
        <w:tblStyle w:val="6"/>
        <w:tblW w:w="8506"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26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19" w:type="dxa"/>
            <w:shd w:val="clear" w:color="000000" w:fill="BFBFBF"/>
            <w:vAlign w:val="center"/>
          </w:tcPr>
          <w:p>
            <w:pPr>
              <w:spacing w:line="220" w:lineRule="atLeast"/>
              <w:ind w:firstLine="560" w:firstLineChars="200"/>
              <w:rPr>
                <w:sz w:val="28"/>
                <w:szCs w:val="28"/>
              </w:rPr>
            </w:pPr>
            <w:r>
              <w:rPr>
                <w:rFonts w:hint="eastAsia"/>
                <w:sz w:val="28"/>
                <w:szCs w:val="28"/>
              </w:rPr>
              <w:t>指标名称</w:t>
            </w:r>
          </w:p>
        </w:tc>
        <w:tc>
          <w:tcPr>
            <w:tcW w:w="2268" w:type="dxa"/>
            <w:shd w:val="clear" w:color="000000" w:fill="BFBFBF"/>
          </w:tcPr>
          <w:p>
            <w:pPr>
              <w:spacing w:line="220" w:lineRule="atLeast"/>
              <w:ind w:firstLine="560" w:firstLineChars="200"/>
              <w:rPr>
                <w:sz w:val="28"/>
                <w:szCs w:val="28"/>
              </w:rPr>
            </w:pPr>
            <w:r>
              <w:rPr>
                <w:rFonts w:hint="eastAsia"/>
                <w:sz w:val="28"/>
                <w:szCs w:val="28"/>
              </w:rPr>
              <w:t>实际值</w:t>
            </w:r>
          </w:p>
        </w:tc>
        <w:tc>
          <w:tcPr>
            <w:tcW w:w="3119" w:type="dxa"/>
            <w:shd w:val="clear" w:color="000000" w:fill="BFBFBF"/>
          </w:tcPr>
          <w:p>
            <w:pPr>
              <w:spacing w:line="220" w:lineRule="atLeast"/>
              <w:ind w:firstLine="560" w:firstLineChars="200"/>
              <w:rPr>
                <w:sz w:val="28"/>
                <w:szCs w:val="28"/>
              </w:rPr>
            </w:pPr>
            <w:r>
              <w:rPr>
                <w:rFonts w:hint="eastAsia"/>
                <w:sz w:val="28"/>
                <w:szCs w:val="28"/>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9" w:type="dxa"/>
            <w:shd w:val="clear" w:color="auto" w:fill="auto"/>
            <w:vAlign w:val="center"/>
          </w:tcPr>
          <w:p>
            <w:pPr>
              <w:spacing w:line="220" w:lineRule="atLeast"/>
              <w:ind w:firstLine="560" w:firstLineChars="200"/>
              <w:rPr>
                <w:sz w:val="28"/>
                <w:szCs w:val="28"/>
              </w:rPr>
            </w:pPr>
            <w:r>
              <w:rPr>
                <w:rFonts w:hint="eastAsia"/>
                <w:sz w:val="28"/>
                <w:szCs w:val="28"/>
              </w:rPr>
              <w:t>内墙维修单位成本</w:t>
            </w:r>
          </w:p>
        </w:tc>
        <w:tc>
          <w:tcPr>
            <w:tcW w:w="2268" w:type="dxa"/>
            <w:vAlign w:val="center"/>
          </w:tcPr>
          <w:p>
            <w:pPr>
              <w:spacing w:line="220" w:lineRule="atLeast"/>
              <w:ind w:firstLine="560" w:firstLineChars="200"/>
              <w:rPr>
                <w:sz w:val="28"/>
                <w:szCs w:val="28"/>
              </w:rPr>
            </w:pPr>
            <w:r>
              <w:rPr>
                <w:rFonts w:hint="eastAsia"/>
                <w:sz w:val="28"/>
                <w:szCs w:val="28"/>
              </w:rPr>
              <w:t>86.67%</w:t>
            </w:r>
          </w:p>
        </w:tc>
        <w:tc>
          <w:tcPr>
            <w:tcW w:w="3119" w:type="dxa"/>
            <w:vAlign w:val="center"/>
          </w:tcPr>
          <w:p>
            <w:pPr>
              <w:spacing w:line="220" w:lineRule="atLeast"/>
              <w:ind w:firstLine="560" w:firstLineChars="200"/>
              <w:rPr>
                <w:sz w:val="28"/>
                <w:szCs w:val="28"/>
              </w:rPr>
            </w:pPr>
            <w:r>
              <w:rPr>
                <w:rFonts w:hint="eastAsia"/>
                <w:sz w:val="28"/>
                <w:szCs w:val="28"/>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9" w:type="dxa"/>
            <w:shd w:val="clear" w:color="auto" w:fill="auto"/>
            <w:vAlign w:val="center"/>
          </w:tcPr>
          <w:p>
            <w:pPr>
              <w:spacing w:line="220" w:lineRule="atLeast"/>
              <w:ind w:firstLine="560" w:firstLineChars="200"/>
              <w:rPr>
                <w:sz w:val="28"/>
                <w:szCs w:val="28"/>
              </w:rPr>
            </w:pPr>
            <w:r>
              <w:rPr>
                <w:rFonts w:hint="eastAsia"/>
                <w:sz w:val="28"/>
                <w:szCs w:val="28"/>
              </w:rPr>
              <w:t>展览馆翻修改造单位成本</w:t>
            </w:r>
          </w:p>
        </w:tc>
        <w:tc>
          <w:tcPr>
            <w:tcW w:w="2268" w:type="dxa"/>
            <w:vAlign w:val="center"/>
          </w:tcPr>
          <w:p>
            <w:pPr>
              <w:spacing w:line="220" w:lineRule="atLeast"/>
              <w:ind w:firstLine="560" w:firstLineChars="200"/>
              <w:rPr>
                <w:sz w:val="28"/>
                <w:szCs w:val="28"/>
              </w:rPr>
            </w:pPr>
            <w:r>
              <w:rPr>
                <w:rFonts w:hint="eastAsia"/>
                <w:sz w:val="28"/>
                <w:szCs w:val="28"/>
              </w:rPr>
              <w:t>86.67%</w:t>
            </w:r>
          </w:p>
        </w:tc>
        <w:tc>
          <w:tcPr>
            <w:tcW w:w="3119" w:type="dxa"/>
            <w:vAlign w:val="center"/>
          </w:tcPr>
          <w:p>
            <w:pPr>
              <w:spacing w:line="220" w:lineRule="atLeast"/>
              <w:ind w:firstLine="560" w:firstLineChars="200"/>
              <w:rPr>
                <w:sz w:val="28"/>
                <w:szCs w:val="28"/>
              </w:rPr>
            </w:pPr>
            <w:r>
              <w:rPr>
                <w:rFonts w:hint="eastAsia"/>
                <w:sz w:val="28"/>
                <w:szCs w:val="28"/>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9" w:type="dxa"/>
            <w:shd w:val="clear" w:color="auto" w:fill="auto"/>
            <w:vAlign w:val="center"/>
          </w:tcPr>
          <w:p>
            <w:pPr>
              <w:spacing w:line="220" w:lineRule="atLeast"/>
              <w:ind w:firstLine="560" w:firstLineChars="200"/>
              <w:rPr>
                <w:sz w:val="28"/>
                <w:szCs w:val="28"/>
              </w:rPr>
            </w:pPr>
            <w:r>
              <w:rPr>
                <w:rFonts w:hint="eastAsia"/>
                <w:sz w:val="28"/>
                <w:szCs w:val="28"/>
              </w:rPr>
              <w:t>更换门窗单位成本</w:t>
            </w:r>
          </w:p>
        </w:tc>
        <w:tc>
          <w:tcPr>
            <w:tcW w:w="2268" w:type="dxa"/>
            <w:vAlign w:val="center"/>
          </w:tcPr>
          <w:p>
            <w:pPr>
              <w:spacing w:line="220" w:lineRule="atLeast"/>
              <w:ind w:firstLine="560" w:firstLineChars="200"/>
              <w:rPr>
                <w:sz w:val="28"/>
                <w:szCs w:val="28"/>
              </w:rPr>
            </w:pPr>
            <w:r>
              <w:rPr>
                <w:rFonts w:hint="eastAsia"/>
                <w:sz w:val="28"/>
                <w:szCs w:val="28"/>
              </w:rPr>
              <w:t>75.00%</w:t>
            </w:r>
          </w:p>
        </w:tc>
        <w:tc>
          <w:tcPr>
            <w:tcW w:w="3119" w:type="dxa"/>
            <w:vAlign w:val="center"/>
          </w:tcPr>
          <w:p>
            <w:pPr>
              <w:spacing w:line="220" w:lineRule="atLeast"/>
              <w:ind w:firstLine="560" w:firstLineChars="200"/>
              <w:rPr>
                <w:sz w:val="28"/>
                <w:szCs w:val="28"/>
              </w:rPr>
            </w:pPr>
            <w:r>
              <w:rPr>
                <w:rFonts w:hint="eastAsia"/>
                <w:sz w:val="28"/>
                <w:szCs w:val="28"/>
              </w:rPr>
              <w:t>25%</w:t>
            </w:r>
          </w:p>
        </w:tc>
      </w:tr>
    </w:tbl>
    <w:p>
      <w:pPr>
        <w:numPr>
          <w:ilvl w:val="0"/>
          <w:numId w:val="1"/>
        </w:numPr>
        <w:spacing w:line="220" w:lineRule="atLeast"/>
        <w:ind w:firstLine="560" w:firstLineChars="200"/>
        <w:rPr>
          <w:rFonts w:hint="eastAsia"/>
          <w:sz w:val="28"/>
          <w:szCs w:val="28"/>
        </w:rPr>
      </w:pPr>
      <w:bookmarkStart w:id="5" w:name="_Toc517260675"/>
      <w:r>
        <w:rPr>
          <w:rFonts w:hint="eastAsia"/>
          <w:sz w:val="28"/>
          <w:szCs w:val="28"/>
        </w:rPr>
        <w:t>存在问题和改进措施建议</w:t>
      </w:r>
      <w:bookmarkEnd w:id="5"/>
      <w:bookmarkStart w:id="6" w:name="_Toc517260677"/>
    </w:p>
    <w:p>
      <w:pPr>
        <w:numPr>
          <w:ilvl w:val="0"/>
          <w:numId w:val="1"/>
        </w:numPr>
        <w:spacing w:line="220" w:lineRule="atLeast"/>
        <w:ind w:firstLine="560" w:firstLineChars="200"/>
        <w:rPr>
          <w:sz w:val="28"/>
          <w:szCs w:val="28"/>
        </w:rPr>
      </w:pPr>
      <w:r>
        <w:rPr>
          <w:rFonts w:hint="eastAsia"/>
          <w:sz w:val="28"/>
          <w:szCs w:val="28"/>
        </w:rPr>
        <w:t>（一）改进措施和建议</w:t>
      </w:r>
      <w:bookmarkEnd w:id="6"/>
    </w:p>
    <w:p>
      <w:pPr>
        <w:spacing w:line="220" w:lineRule="atLeast"/>
        <w:ind w:firstLine="560" w:firstLineChars="200"/>
        <w:rPr>
          <w:sz w:val="28"/>
          <w:szCs w:val="28"/>
        </w:rPr>
      </w:pPr>
      <w:r>
        <w:rPr>
          <w:rFonts w:hint="eastAsia"/>
          <w:sz w:val="28"/>
          <w:szCs w:val="28"/>
        </w:rPr>
        <w:t>对项目决策的建议：</w:t>
      </w:r>
    </w:p>
    <w:p>
      <w:pPr>
        <w:spacing w:line="220" w:lineRule="atLeast"/>
        <w:ind w:firstLine="560" w:firstLineChars="200"/>
        <w:rPr>
          <w:sz w:val="28"/>
          <w:szCs w:val="28"/>
        </w:rPr>
      </w:pPr>
      <w:r>
        <w:rPr>
          <w:rFonts w:hint="eastAsia"/>
          <w:sz w:val="28"/>
          <w:szCs w:val="28"/>
        </w:rPr>
        <w:t>在项目决策中要把审计工作置于经济社会运行的大背景和改革发展的大局中谋划，围绕推动高质量发展的重点任务，精准科学安排好、实施好审计工作。把推动党中央、省市及区委、区政府重大政策措施贯彻落实作为政治责任、重中之重，注重揭示制约发展的深层次问题，着力揭示和反映体制机制制度性问题，提升审计监督实效。</w:t>
      </w:r>
    </w:p>
    <w:p>
      <w:pPr>
        <w:spacing w:line="220" w:lineRule="atLeast"/>
        <w:ind w:firstLine="560" w:firstLineChars="200"/>
        <w:rPr>
          <w:sz w:val="28"/>
          <w:szCs w:val="28"/>
        </w:rPr>
      </w:pPr>
      <w:r>
        <w:rPr>
          <w:rFonts w:hint="eastAsia"/>
          <w:sz w:val="28"/>
          <w:szCs w:val="28"/>
        </w:rPr>
        <w:t>对预算安排与执行的建议：</w:t>
      </w:r>
    </w:p>
    <w:p>
      <w:pPr>
        <w:spacing w:line="220" w:lineRule="atLeast"/>
        <w:ind w:firstLine="560" w:firstLineChars="200"/>
        <w:rPr>
          <w:sz w:val="28"/>
          <w:szCs w:val="28"/>
        </w:rPr>
      </w:pPr>
      <w:r>
        <w:rPr>
          <w:rFonts w:hint="eastAsia"/>
          <w:sz w:val="28"/>
          <w:szCs w:val="28"/>
        </w:rPr>
        <w:t>预算编制与预算执行关系密切，我单位要采取有效措施，进一步做细、做实、做准预算，为预算执行打下良好基础。积极推进预算编制改革，严格控制代编预算规模，提高预算到位率，切实把预算细化到</w:t>
      </w:r>
      <w:r>
        <w:rPr>
          <w:rFonts w:hint="eastAsia"/>
          <w:sz w:val="28"/>
          <w:szCs w:val="28"/>
          <w:lang w:eastAsia="zh-CN"/>
        </w:rPr>
        <w:t>单位</w:t>
      </w:r>
      <w:r>
        <w:rPr>
          <w:rFonts w:hint="eastAsia"/>
          <w:sz w:val="28"/>
          <w:szCs w:val="28"/>
        </w:rPr>
        <w:t>，细化到基层单位，细化到具体项目。</w:t>
      </w:r>
      <w:r>
        <w:rPr>
          <w:rFonts w:hint="eastAsia"/>
          <w:sz w:val="28"/>
          <w:szCs w:val="28"/>
        </w:rPr>
        <w:br w:type="textWrapping"/>
      </w:r>
      <w:r>
        <w:rPr>
          <w:rFonts w:hint="eastAsia"/>
          <w:sz w:val="28"/>
          <w:szCs w:val="28"/>
        </w:rPr>
        <w:br w:type="textWrapping"/>
      </w:r>
      <w:r>
        <w:rPr>
          <w:rFonts w:hint="eastAsia"/>
          <w:sz w:val="28"/>
          <w:szCs w:val="28"/>
        </w:rPr>
        <w:t>2、科学合理编制本单位预算，基本支出预算应严格按照定额管理要求编制，项目支出预算要提高精细化水平，做好项目评估和可行性论证，确保列入年度预算的项目切实可行，对跨年度项目要根据项目进度分年安排，推动项目的滚动管理。</w:t>
      </w:r>
      <w:r>
        <w:rPr>
          <w:rFonts w:hint="eastAsia"/>
          <w:sz w:val="28"/>
          <w:szCs w:val="28"/>
        </w:rPr>
        <w:br w:type="textWrapping"/>
      </w:r>
      <w:r>
        <w:rPr>
          <w:rFonts w:hint="eastAsia"/>
          <w:sz w:val="28"/>
          <w:szCs w:val="28"/>
        </w:rPr>
        <w:t>3、要完善预算编制与预算执行相结合的机制，加强结转和结余资金管理。对</w:t>
      </w:r>
      <w:r>
        <w:rPr>
          <w:rFonts w:hint="eastAsia"/>
          <w:sz w:val="28"/>
          <w:szCs w:val="28"/>
          <w:lang w:eastAsia="zh-CN"/>
        </w:rPr>
        <w:t>单位</w:t>
      </w:r>
      <w:r>
        <w:rPr>
          <w:rFonts w:hint="eastAsia"/>
          <w:sz w:val="28"/>
          <w:szCs w:val="28"/>
        </w:rPr>
        <w:t>、单位年底形成的财政拨款结转和结余资金，各级财政</w:t>
      </w:r>
      <w:r>
        <w:rPr>
          <w:rFonts w:hint="eastAsia"/>
          <w:sz w:val="28"/>
          <w:szCs w:val="28"/>
          <w:lang w:eastAsia="zh-CN"/>
        </w:rPr>
        <w:t>单位</w:t>
      </w:r>
      <w:r>
        <w:rPr>
          <w:rFonts w:hint="eastAsia"/>
          <w:sz w:val="28"/>
          <w:szCs w:val="28"/>
        </w:rPr>
        <w:t>应统筹安排使用。。</w:t>
      </w:r>
    </w:p>
    <w:p>
      <w:pPr>
        <w:spacing w:line="220" w:lineRule="atLeast"/>
        <w:ind w:firstLine="560" w:firstLineChars="200"/>
        <w:rPr>
          <w:sz w:val="28"/>
          <w:szCs w:val="28"/>
        </w:rPr>
      </w:pPr>
      <w:r>
        <w:rPr>
          <w:rFonts w:hint="eastAsia"/>
          <w:sz w:val="28"/>
          <w:szCs w:val="28"/>
        </w:rPr>
        <w:t>对资金管理的建议：</w:t>
      </w:r>
    </w:p>
    <w:p>
      <w:pPr>
        <w:spacing w:line="220" w:lineRule="atLeast"/>
        <w:rPr>
          <w:sz w:val="28"/>
          <w:szCs w:val="28"/>
        </w:rPr>
      </w:pPr>
      <w:r>
        <w:rPr>
          <w:rFonts w:hint="eastAsia"/>
          <w:sz w:val="28"/>
          <w:szCs w:val="28"/>
        </w:rPr>
        <w:t>进一步健全内部控制制度并严格执行，充分发挥内部控制在堵漏挖潜、增收节支方面的积极作用，确保专项资金专款专用。</w:t>
      </w:r>
    </w:p>
    <w:p>
      <w:pPr>
        <w:spacing w:line="220" w:lineRule="atLeast"/>
        <w:ind w:firstLine="560" w:firstLineChars="200"/>
        <w:rPr>
          <w:sz w:val="28"/>
          <w:szCs w:val="28"/>
        </w:rPr>
      </w:pPr>
      <w:r>
        <w:rPr>
          <w:rFonts w:hint="eastAsia"/>
          <w:sz w:val="28"/>
          <w:szCs w:val="28"/>
        </w:rPr>
        <w:t>对项目管理的建议：</w:t>
      </w:r>
    </w:p>
    <w:p>
      <w:pPr>
        <w:spacing w:line="220" w:lineRule="atLeast"/>
        <w:ind w:firstLine="560" w:firstLineChars="200"/>
        <w:rPr>
          <w:sz w:val="28"/>
          <w:szCs w:val="28"/>
        </w:rPr>
      </w:pPr>
      <w:r>
        <w:rPr>
          <w:rFonts w:hint="eastAsia"/>
          <w:sz w:val="28"/>
          <w:szCs w:val="28"/>
        </w:rPr>
        <w:t>在项目管理中，要深刻领会党中央和省市对新时代审计工作的新部署新要求，紧扣“宏观管理</w:t>
      </w:r>
      <w:r>
        <w:rPr>
          <w:rFonts w:hint="eastAsia"/>
          <w:sz w:val="28"/>
          <w:szCs w:val="28"/>
          <w:lang w:eastAsia="zh-CN"/>
        </w:rPr>
        <w:t>单位</w:t>
      </w:r>
      <w:r>
        <w:rPr>
          <w:rFonts w:hint="eastAsia"/>
          <w:sz w:val="28"/>
          <w:szCs w:val="28"/>
        </w:rPr>
        <w:t>”新定位，增强宏观思维和大局意识，创新审计理念和思路，在编制审计计划、确定审计重点等项目管理中体现出审计的新定位，以“治已病、防未病”为工作目标，与时俱进，结合工作实际，完善各类项目管理的制度规范，拓展审计监督的广度和深度，确保应审尽审、凡审必严、严肃问责。</w:t>
      </w:r>
    </w:p>
    <w:p>
      <w:pPr>
        <w:pStyle w:val="14"/>
        <w:numPr>
          <w:ilvl w:val="0"/>
          <w:numId w:val="2"/>
        </w:numPr>
        <w:ind w:firstLineChars="0"/>
      </w:pPr>
      <w:r>
        <w:rPr>
          <w:rFonts w:hint="eastAsia"/>
        </w:rPr>
        <w:t>其它：</w:t>
      </w:r>
    </w:p>
    <w:p>
      <w:pPr>
        <w:pStyle w:val="15"/>
        <w:ind w:left="982" w:firstLine="0" w:firstLineChars="0"/>
        <w:rPr>
          <w:lang w:val="en-US"/>
        </w:rPr>
      </w:pPr>
      <w:r>
        <w:rPr>
          <w:rFonts w:hint="eastAsia"/>
          <w:lang w:val="en-US"/>
        </w:rPr>
        <w:t>无</w:t>
      </w:r>
    </w:p>
    <w:p>
      <w:pPr>
        <w:pStyle w:val="14"/>
        <w:numPr>
          <w:ilvl w:val="0"/>
          <w:numId w:val="2"/>
        </w:numPr>
        <w:ind w:firstLineChars="0"/>
      </w:pPr>
      <w:r>
        <w:rPr>
          <w:rFonts w:hint="eastAsia"/>
        </w:rPr>
        <w:t>备注：</w:t>
      </w:r>
    </w:p>
    <w:p>
      <w:pPr>
        <w:pStyle w:val="15"/>
        <w:ind w:left="982" w:firstLine="0" w:firstLineChars="0"/>
        <w:rPr>
          <w:sz w:val="28"/>
          <w:szCs w:val="28"/>
        </w:rPr>
      </w:pPr>
      <w:r>
        <w:rPr>
          <w:rFonts w:hint="eastAsia"/>
          <w:lang w:val="en-US"/>
        </w:rPr>
        <w:t>无</w:t>
      </w:r>
    </w:p>
    <w:p>
      <w:pPr>
        <w:spacing w:line="220" w:lineRule="atLeast"/>
        <w:ind w:firstLine="560" w:firstLineChars="200"/>
        <w:rPr>
          <w:sz w:val="28"/>
          <w:szCs w:val="28"/>
        </w:rPr>
      </w:pPr>
      <w:r>
        <w:rPr>
          <w:rFonts w:hint="eastAsia"/>
          <w:b/>
          <w:sz w:val="28"/>
          <w:szCs w:val="28"/>
        </w:rPr>
        <w:t>（3）</w:t>
      </w:r>
      <w:r>
        <w:rPr>
          <w:rFonts w:hint="eastAsia"/>
          <w:b/>
          <w:sz w:val="28"/>
          <w:szCs w:val="28"/>
          <w:lang w:eastAsia="zh-CN"/>
        </w:rPr>
        <w:t>单位</w:t>
      </w:r>
      <w:r>
        <w:rPr>
          <w:rFonts w:hint="eastAsia"/>
          <w:b/>
          <w:sz w:val="28"/>
          <w:szCs w:val="28"/>
        </w:rPr>
        <w:t>评价项目绩效评价结果。</w:t>
      </w:r>
      <w:r>
        <w:rPr>
          <w:rFonts w:hint="eastAsia"/>
          <w:sz w:val="28"/>
          <w:szCs w:val="28"/>
        </w:rPr>
        <w:t>每个</w:t>
      </w:r>
      <w:r>
        <w:rPr>
          <w:rFonts w:hint="eastAsia"/>
          <w:sz w:val="28"/>
          <w:szCs w:val="28"/>
          <w:lang w:eastAsia="zh-CN"/>
        </w:rPr>
        <w:t>单位</w:t>
      </w:r>
      <w:r>
        <w:rPr>
          <w:rFonts w:hint="eastAsia"/>
          <w:sz w:val="28"/>
          <w:szCs w:val="28"/>
        </w:rPr>
        <w:t>至少将1个</w:t>
      </w:r>
      <w:r>
        <w:rPr>
          <w:rFonts w:hint="eastAsia"/>
          <w:sz w:val="28"/>
          <w:szCs w:val="28"/>
          <w:lang w:eastAsia="zh-CN"/>
        </w:rPr>
        <w:t>单位</w:t>
      </w:r>
      <w:r>
        <w:rPr>
          <w:rFonts w:hint="eastAsia"/>
          <w:sz w:val="28"/>
          <w:szCs w:val="28"/>
        </w:rPr>
        <w:t>评价报告向社会公开，报告框架格式参照所附《XX年度会计管理项目绩效评价报告》。</w:t>
      </w:r>
    </w:p>
    <w:p>
      <w:pPr>
        <w:spacing w:line="220" w:lineRule="atLeast"/>
        <w:ind w:firstLine="560" w:firstLineChars="200"/>
        <w:rPr>
          <w:sz w:val="28"/>
          <w:szCs w:val="28"/>
        </w:rPr>
      </w:pPr>
      <w:r>
        <w:rPr>
          <w:rFonts w:hint="eastAsia"/>
          <w:sz w:val="28"/>
          <w:szCs w:val="28"/>
        </w:rPr>
        <w:t>我单位没有进行</w:t>
      </w:r>
      <w:r>
        <w:rPr>
          <w:rFonts w:hint="eastAsia"/>
          <w:sz w:val="28"/>
          <w:szCs w:val="28"/>
          <w:lang w:eastAsia="zh-CN"/>
        </w:rPr>
        <w:t>单位</w:t>
      </w:r>
      <w:r>
        <w:rPr>
          <w:rFonts w:hint="eastAsia"/>
          <w:sz w:val="28"/>
          <w:szCs w:val="28"/>
        </w:rPr>
        <w:t>评价。</w:t>
      </w:r>
    </w:p>
    <w:p>
      <w:pPr>
        <w:spacing w:line="220" w:lineRule="atLeast"/>
        <w:ind w:firstLine="420" w:firstLineChars="150"/>
        <w:rPr>
          <w:b/>
          <w:sz w:val="28"/>
          <w:szCs w:val="28"/>
        </w:rPr>
      </w:pPr>
      <w:r>
        <w:rPr>
          <w:rFonts w:hint="eastAsia"/>
          <w:b/>
          <w:sz w:val="28"/>
          <w:szCs w:val="28"/>
        </w:rPr>
        <w:t>（五）其他需要说明的事项</w:t>
      </w:r>
    </w:p>
    <w:p>
      <w:pPr>
        <w:ind w:firstLine="643" w:firstLineChars="200"/>
        <w:rPr>
          <w:rFonts w:ascii="微软雅黑" w:hAnsi="微软雅黑" w:cs="宋体"/>
          <w:color w:val="000000"/>
          <w:sz w:val="28"/>
          <w:szCs w:val="28"/>
        </w:rPr>
      </w:pPr>
      <w:r>
        <w:rPr>
          <w:rFonts w:hint="eastAsia" w:ascii="仿宋_GB2312" w:hAnsi="仿宋" w:eastAsia="仿宋_GB2312"/>
          <w:b/>
          <w:sz w:val="32"/>
          <w:szCs w:val="32"/>
        </w:rPr>
        <w:t>1、培训费：</w:t>
      </w:r>
      <w:r>
        <w:rPr>
          <w:rFonts w:hint="eastAsia" w:ascii="微软雅黑" w:hAnsi="微软雅黑"/>
          <w:sz w:val="28"/>
          <w:szCs w:val="28"/>
        </w:rPr>
        <w:t>全</w:t>
      </w:r>
      <w:r>
        <w:rPr>
          <w:rFonts w:ascii="微软雅黑" w:hAnsi="微软雅黑"/>
          <w:sz w:val="28"/>
          <w:szCs w:val="28"/>
        </w:rPr>
        <w:t>年一般公共预算拨款安排的培训费决算</w:t>
      </w:r>
      <w:r>
        <w:rPr>
          <w:rFonts w:hint="eastAsia" w:ascii="微软雅黑" w:hAnsi="微软雅黑"/>
          <w:color w:val="000000"/>
          <w:sz w:val="28"/>
          <w:szCs w:val="28"/>
        </w:rPr>
        <w:t>年</w:t>
      </w:r>
      <w:r>
        <w:rPr>
          <w:rFonts w:hint="eastAsia" w:ascii="微软雅黑" w:hAnsi="微软雅黑"/>
          <w:sz w:val="28"/>
          <w:szCs w:val="28"/>
        </w:rPr>
        <w:t>初预算0万元，支出决算0万元，完成年初预算的0%</w:t>
      </w:r>
      <w:r>
        <w:rPr>
          <w:rFonts w:hint="eastAsia" w:ascii="微软雅黑" w:hAnsi="微软雅黑"/>
          <w:color w:val="000000"/>
          <w:sz w:val="28"/>
          <w:szCs w:val="28"/>
        </w:rPr>
        <w:t>，比上年增加-0.02万元，增长-100%，原因是因疫情影响取消线下培训</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年度全年组织培训</w:t>
      </w:r>
      <w:r>
        <w:rPr>
          <w:rFonts w:hint="eastAsia" w:ascii="微软雅黑" w:hAnsi="微软雅黑"/>
          <w:sz w:val="28"/>
          <w:szCs w:val="28"/>
        </w:rPr>
        <w:t>0</w:t>
      </w:r>
      <w:r>
        <w:rPr>
          <w:rFonts w:ascii="微软雅黑" w:hAnsi="微软雅黑"/>
          <w:sz w:val="28"/>
          <w:szCs w:val="28"/>
        </w:rPr>
        <w:t>个，组织培训</w:t>
      </w:r>
      <w:r>
        <w:rPr>
          <w:rFonts w:hint="eastAsia" w:ascii="微软雅黑" w:hAnsi="微软雅黑"/>
          <w:sz w:val="28"/>
          <w:szCs w:val="28"/>
        </w:rPr>
        <w:t>0</w:t>
      </w:r>
      <w:r>
        <w:rPr>
          <w:rFonts w:ascii="微软雅黑" w:hAnsi="微软雅黑"/>
          <w:sz w:val="28"/>
          <w:szCs w:val="28"/>
        </w:rPr>
        <w:t>人次。主要为培训</w:t>
      </w:r>
      <w:r>
        <w:rPr>
          <w:rFonts w:hint="eastAsia" w:ascii="微软雅黑" w:hAnsi="微软雅黑"/>
          <w:sz w:val="28"/>
          <w:szCs w:val="28"/>
        </w:rPr>
        <w:t>无</w:t>
      </w:r>
      <w:r>
        <w:rPr>
          <w:rFonts w:ascii="微软雅黑" w:hAnsi="微软雅黑"/>
          <w:sz w:val="28"/>
          <w:szCs w:val="28"/>
        </w:rPr>
        <w:t>。</w:t>
      </w:r>
    </w:p>
    <w:tbl>
      <w:tblPr>
        <w:tblStyle w:val="6"/>
        <w:tblW w:w="8664" w:type="dxa"/>
        <w:tblInd w:w="91" w:type="dxa"/>
        <w:tblLayout w:type="fixed"/>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培训费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color w:val="00000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220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rPr>
            </w:pPr>
            <w:r>
              <w:rPr>
                <w:rFonts w:hint="eastAsia" w:ascii="宋体" w:hAnsi="宋体" w:cs="宋体"/>
                <w:color w:val="000000"/>
              </w:rPr>
              <w:t>-220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-100</w:t>
            </w:r>
          </w:p>
        </w:tc>
      </w:tr>
    </w:tbl>
    <w:p>
      <w:pPr>
        <w:rPr>
          <w:rFonts w:ascii="仿宋_GB2312" w:hAnsi="楷体" w:eastAsia="仿宋_GB2312"/>
          <w:b/>
          <w:sz w:val="32"/>
          <w:szCs w:val="32"/>
        </w:rPr>
      </w:pPr>
    </w:p>
    <w:p>
      <w:pPr>
        <w:numPr>
          <w:ilvl w:val="0"/>
          <w:numId w:val="3"/>
        </w:numPr>
        <w:ind w:firstLine="560" w:firstLineChars="200"/>
        <w:rPr>
          <w:rFonts w:ascii="微软雅黑" w:hAnsi="微软雅黑"/>
          <w:sz w:val="28"/>
          <w:szCs w:val="28"/>
        </w:rPr>
      </w:pPr>
      <w:r>
        <w:rPr>
          <w:rFonts w:hint="eastAsia" w:ascii="微软雅黑" w:hAnsi="微软雅黑"/>
          <w:b/>
          <w:sz w:val="28"/>
          <w:szCs w:val="28"/>
        </w:rPr>
        <w:t>会议费：</w:t>
      </w:r>
      <w:r>
        <w:rPr>
          <w:rFonts w:hint="eastAsia" w:ascii="微软雅黑" w:hAnsi="微软雅黑"/>
          <w:sz w:val="28"/>
          <w:szCs w:val="28"/>
        </w:rPr>
        <w:t>全年</w:t>
      </w:r>
      <w:r>
        <w:rPr>
          <w:rFonts w:ascii="微软雅黑" w:hAnsi="微软雅黑"/>
          <w:sz w:val="28"/>
          <w:szCs w:val="28"/>
        </w:rPr>
        <w:t>一般公共预算拨款安排的会议费</w:t>
      </w:r>
      <w:r>
        <w:rPr>
          <w:rFonts w:hint="eastAsia" w:ascii="微软雅黑" w:hAnsi="微软雅黑"/>
          <w:color w:val="000000"/>
          <w:sz w:val="28"/>
          <w:szCs w:val="28"/>
        </w:rPr>
        <w:t>年</w:t>
      </w:r>
      <w:r>
        <w:rPr>
          <w:rFonts w:hint="eastAsia" w:ascii="微软雅黑" w:hAnsi="微软雅黑"/>
          <w:sz w:val="28"/>
          <w:szCs w:val="28"/>
        </w:rPr>
        <w:t>初预算XX万元，支出决算1.51万元，完成年初预算的XX%</w:t>
      </w:r>
      <w:r>
        <w:rPr>
          <w:rFonts w:hint="eastAsia" w:ascii="微软雅黑" w:hAnsi="微软雅黑"/>
          <w:color w:val="000000"/>
          <w:sz w:val="28"/>
          <w:szCs w:val="28"/>
        </w:rPr>
        <w:t>，比上年增加1.01万元，增长199.5%，原因是展览馆改陈布展评审会议增加</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年度全年召开会议</w:t>
      </w:r>
      <w:r>
        <w:rPr>
          <w:rFonts w:hint="eastAsia" w:ascii="微软雅黑" w:hAnsi="微软雅黑"/>
          <w:sz w:val="28"/>
          <w:szCs w:val="28"/>
        </w:rPr>
        <w:t>1</w:t>
      </w:r>
      <w:r>
        <w:rPr>
          <w:rFonts w:ascii="微软雅黑" w:hAnsi="微软雅黑"/>
          <w:sz w:val="28"/>
          <w:szCs w:val="28"/>
        </w:rPr>
        <w:t>个，参加会议</w:t>
      </w:r>
      <w:r>
        <w:rPr>
          <w:rFonts w:hint="eastAsia" w:ascii="微软雅黑" w:hAnsi="微软雅黑"/>
          <w:sz w:val="28"/>
          <w:szCs w:val="28"/>
        </w:rPr>
        <w:t>12</w:t>
      </w:r>
      <w:r>
        <w:rPr>
          <w:rFonts w:ascii="微软雅黑" w:hAnsi="微软雅黑"/>
          <w:sz w:val="28"/>
          <w:szCs w:val="28"/>
        </w:rPr>
        <w:t>人次。主要为召开</w:t>
      </w:r>
      <w:r>
        <w:rPr>
          <w:rFonts w:hint="eastAsia" w:ascii="微软雅黑" w:hAnsi="微软雅黑"/>
          <w:sz w:val="28"/>
          <w:szCs w:val="28"/>
        </w:rPr>
        <w:t>西沟</w:t>
      </w:r>
      <w:r>
        <w:rPr>
          <w:rFonts w:hint="eastAsia" w:ascii="微软雅黑" w:hAnsi="微软雅黑"/>
          <w:color w:val="000000"/>
          <w:sz w:val="28"/>
          <w:szCs w:val="28"/>
        </w:rPr>
        <w:t>展览馆改陈布展方案的评审</w:t>
      </w:r>
      <w:r>
        <w:rPr>
          <w:rFonts w:ascii="微软雅黑" w:hAnsi="微软雅黑"/>
          <w:sz w:val="28"/>
          <w:szCs w:val="28"/>
        </w:rPr>
        <w:t>。</w:t>
      </w:r>
    </w:p>
    <w:p>
      <w:pPr>
        <w:rPr>
          <w:rFonts w:ascii="微软雅黑" w:hAnsi="微软雅黑"/>
          <w:sz w:val="28"/>
          <w:szCs w:val="28"/>
        </w:rPr>
      </w:pPr>
    </w:p>
    <w:p>
      <w:pPr>
        <w:rPr>
          <w:rFonts w:ascii="微软雅黑" w:hAnsi="微软雅黑"/>
          <w:sz w:val="28"/>
          <w:szCs w:val="28"/>
        </w:rPr>
      </w:pPr>
    </w:p>
    <w:tbl>
      <w:tblPr>
        <w:tblStyle w:val="6"/>
        <w:tblW w:w="8664" w:type="dxa"/>
        <w:tblInd w:w="91" w:type="dxa"/>
        <w:tblLayout w:type="fixed"/>
        <w:tblCellMar>
          <w:top w:w="0" w:type="dxa"/>
          <w:left w:w="108" w:type="dxa"/>
          <w:bottom w:w="0" w:type="dxa"/>
          <w:right w:w="108" w:type="dxa"/>
        </w:tblCellMar>
      </w:tblPr>
      <w:tblGrid>
        <w:gridCol w:w="915"/>
        <w:gridCol w:w="1370"/>
        <w:gridCol w:w="1418"/>
        <w:gridCol w:w="1092"/>
        <w:gridCol w:w="1560"/>
        <w:gridCol w:w="1317"/>
        <w:gridCol w:w="992"/>
      </w:tblGrid>
      <w:tr>
        <w:tblPrEx>
          <w:tblCellMar>
            <w:top w:w="0" w:type="dxa"/>
            <w:left w:w="108" w:type="dxa"/>
            <w:bottom w:w="0" w:type="dxa"/>
            <w:right w:w="108" w:type="dxa"/>
          </w:tblCellMar>
        </w:tblPrEx>
        <w:trPr>
          <w:trHeight w:val="510" w:hRule="atLeast"/>
        </w:trPr>
        <w:tc>
          <w:tcPr>
            <w:tcW w:w="915" w:type="dxa"/>
            <w:vMerge w:val="restart"/>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cs="宋体"/>
                <w:b/>
                <w:bCs/>
                <w:color w:val="000000"/>
              </w:rPr>
            </w:pPr>
            <w:r>
              <w:rPr>
                <w:rFonts w:hint="eastAsia" w:ascii="宋体" w:hAnsi="宋体" w:cs="宋体"/>
                <w:b/>
                <w:bCs/>
                <w:color w:val="000000"/>
              </w:rPr>
              <w:t>会议费</w:t>
            </w:r>
          </w:p>
        </w:tc>
        <w:tc>
          <w:tcPr>
            <w:tcW w:w="1370"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预算数（万元）</w:t>
            </w:r>
          </w:p>
        </w:tc>
        <w:tc>
          <w:tcPr>
            <w:tcW w:w="251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决算数（万元）</w:t>
            </w:r>
          </w:p>
        </w:tc>
        <w:tc>
          <w:tcPr>
            <w:tcW w:w="1560"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比上年增加（万元）</w:t>
            </w:r>
          </w:p>
        </w:tc>
        <w:tc>
          <w:tcPr>
            <w:tcW w:w="1317" w:type="dxa"/>
            <w:vMerge w:val="restart"/>
            <w:tcBorders>
              <w:top w:val="single" w:color="auto" w:sz="4" w:space="0"/>
              <w:left w:val="nil"/>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比上年增加比例%</w:t>
            </w:r>
          </w:p>
        </w:tc>
      </w:tr>
      <w:tr>
        <w:tblPrEx>
          <w:tblCellMar>
            <w:top w:w="0" w:type="dxa"/>
            <w:left w:w="108" w:type="dxa"/>
            <w:bottom w:w="0" w:type="dxa"/>
            <w:right w:w="108" w:type="dxa"/>
          </w:tblCellMar>
        </w:tblPrEx>
        <w:trPr>
          <w:trHeight w:val="292"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p>
        </w:tc>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2021</w:t>
            </w:r>
          </w:p>
        </w:tc>
        <w:tc>
          <w:tcPr>
            <w:tcW w:w="10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2020</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2021-2020</w:t>
            </w:r>
          </w:p>
        </w:tc>
        <w:tc>
          <w:tcPr>
            <w:tcW w:w="1317"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color w:val="00000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ign w:val="center"/>
          </w:tcPr>
          <w:p>
            <w:pPr>
              <w:jc w:val="center"/>
              <w:rPr>
                <w:rFonts w:ascii="微软雅黑" w:hAnsi="微软雅黑"/>
                <w:sz w:val="28"/>
                <w:szCs w:val="28"/>
              </w:rPr>
            </w:pPr>
            <w:r>
              <w:rPr>
                <w:rFonts w:hint="eastAsia" w:ascii="宋体" w:hAnsi="宋体" w:cs="宋体"/>
                <w:b/>
                <w:bCs/>
                <w:color w:val="000000"/>
              </w:rPr>
              <w:t>合计</w:t>
            </w:r>
          </w:p>
        </w:tc>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2</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1.51</w:t>
            </w:r>
          </w:p>
        </w:tc>
        <w:tc>
          <w:tcPr>
            <w:tcW w:w="10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0.50</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rPr>
            </w:pPr>
            <w:r>
              <w:rPr>
                <w:rFonts w:hint="eastAsia" w:ascii="宋体" w:hAnsi="宋体" w:cs="宋体"/>
                <w:b/>
                <w:bCs/>
                <w:color w:val="000000"/>
              </w:rPr>
              <w:t>1.01</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75.5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宋体" w:hAnsi="宋体" w:cs="宋体"/>
                <w:b/>
                <w:bCs/>
                <w:color w:val="000000"/>
              </w:rPr>
              <w:t>199.5</w:t>
            </w:r>
          </w:p>
        </w:tc>
      </w:tr>
    </w:tbl>
    <w:p>
      <w:pPr>
        <w:ind w:firstLine="560" w:firstLineChars="200"/>
        <w:rPr>
          <w:rFonts w:ascii="微软雅黑" w:hAnsi="微软雅黑"/>
          <w:sz w:val="28"/>
          <w:szCs w:val="28"/>
        </w:rPr>
      </w:pPr>
      <w:r>
        <w:rPr>
          <w:rFonts w:hint="eastAsia" w:ascii="微软雅黑" w:hAnsi="微软雅黑"/>
          <w:sz w:val="28"/>
          <w:szCs w:val="28"/>
        </w:rPr>
        <w:t>3、其他需要说明的事项</w:t>
      </w:r>
    </w:p>
    <w:p>
      <w:pPr>
        <w:ind w:firstLine="560" w:firstLineChars="200"/>
        <w:rPr>
          <w:rFonts w:ascii="微软雅黑" w:hAnsi="微软雅黑"/>
          <w:sz w:val="28"/>
          <w:szCs w:val="28"/>
        </w:rPr>
      </w:pPr>
      <w:r>
        <w:rPr>
          <w:rFonts w:hint="eastAsia" w:ascii="微软雅黑" w:hAnsi="微软雅黑"/>
          <w:sz w:val="28"/>
          <w:szCs w:val="28"/>
        </w:rPr>
        <w:t>我单位无其他需要说明的事项。</w:t>
      </w:r>
    </w:p>
    <w:p>
      <w:pPr>
        <w:spacing w:line="220" w:lineRule="atLeast"/>
        <w:rPr>
          <w:b/>
          <w:sz w:val="28"/>
          <w:szCs w:val="28"/>
        </w:rPr>
      </w:pPr>
      <w:r>
        <w:rPr>
          <w:rFonts w:hint="eastAsia"/>
          <w:b/>
          <w:sz w:val="28"/>
          <w:szCs w:val="28"/>
        </w:rPr>
        <w:t>第四部分 名词解释</w:t>
      </w:r>
    </w:p>
    <w:p>
      <w:pPr>
        <w:spacing w:line="220" w:lineRule="atLeast"/>
        <w:ind w:firstLine="560" w:firstLineChars="200"/>
        <w:rPr>
          <w:sz w:val="28"/>
          <w:szCs w:val="28"/>
        </w:rPr>
      </w:pPr>
      <w:r>
        <w:rPr>
          <w:rFonts w:hint="eastAsia"/>
          <w:b/>
          <w:sz w:val="28"/>
          <w:szCs w:val="28"/>
        </w:rPr>
        <w:t>一、财政拨款收入：</w:t>
      </w:r>
      <w:r>
        <w:rPr>
          <w:rFonts w:hint="eastAsia"/>
          <w:sz w:val="28"/>
          <w:szCs w:val="28"/>
        </w:rPr>
        <w:t>指单位从同级财政</w:t>
      </w:r>
      <w:r>
        <w:rPr>
          <w:rFonts w:hint="eastAsia"/>
          <w:sz w:val="28"/>
          <w:szCs w:val="28"/>
          <w:lang w:eastAsia="zh-CN"/>
        </w:rPr>
        <w:t>单位</w:t>
      </w:r>
      <w:r>
        <w:rPr>
          <w:rFonts w:hint="eastAsia"/>
          <w:sz w:val="28"/>
          <w:szCs w:val="28"/>
        </w:rPr>
        <w:t>取得的财政预算资金。</w:t>
      </w:r>
    </w:p>
    <w:p>
      <w:pPr>
        <w:spacing w:line="220" w:lineRule="atLeast"/>
        <w:ind w:firstLine="560" w:firstLineChars="200"/>
        <w:rPr>
          <w:sz w:val="28"/>
          <w:szCs w:val="28"/>
        </w:rPr>
      </w:pPr>
      <w:r>
        <w:rPr>
          <w:rFonts w:hint="eastAsia"/>
          <w:b/>
          <w:sz w:val="28"/>
          <w:szCs w:val="28"/>
        </w:rPr>
        <w:t>二、事业收入：</w:t>
      </w:r>
      <w:r>
        <w:rPr>
          <w:rFonts w:hint="eastAsia"/>
          <w:sz w:val="28"/>
          <w:szCs w:val="28"/>
        </w:rPr>
        <w:t>指事业单位开展专业业务活动及辅助活动取得的收入。</w:t>
      </w:r>
    </w:p>
    <w:p>
      <w:pPr>
        <w:spacing w:line="220" w:lineRule="atLeast"/>
        <w:ind w:firstLine="560" w:firstLineChars="200"/>
        <w:rPr>
          <w:sz w:val="28"/>
          <w:szCs w:val="28"/>
        </w:rPr>
      </w:pPr>
      <w:r>
        <w:rPr>
          <w:rFonts w:hint="eastAsia"/>
          <w:b/>
          <w:sz w:val="28"/>
          <w:szCs w:val="28"/>
        </w:rPr>
        <w:t>三、经营收入：</w:t>
      </w:r>
      <w:r>
        <w:rPr>
          <w:rFonts w:hint="eastAsia"/>
          <w:sz w:val="28"/>
          <w:szCs w:val="28"/>
        </w:rPr>
        <w:t>指事业单位在专业业务活动及其辅助活动之外开展非独立核算经营活动取得的收入。</w:t>
      </w:r>
    </w:p>
    <w:p>
      <w:pPr>
        <w:spacing w:line="220" w:lineRule="atLeast"/>
        <w:ind w:firstLine="560" w:firstLineChars="200"/>
        <w:rPr>
          <w:sz w:val="28"/>
          <w:szCs w:val="28"/>
        </w:rPr>
      </w:pPr>
      <w:r>
        <w:rPr>
          <w:rFonts w:hint="eastAsia"/>
          <w:b/>
          <w:sz w:val="28"/>
          <w:szCs w:val="28"/>
        </w:rPr>
        <w:t>四、其他收入：</w:t>
      </w:r>
      <w:r>
        <w:rPr>
          <w:rFonts w:hint="eastAsia"/>
          <w:sz w:val="28"/>
          <w:szCs w:val="28"/>
        </w:rPr>
        <w:t>指单位取得的除上述收入以外的各项收入。主要是事业单位固定资产出租收入、存款利息收入等。</w:t>
      </w:r>
    </w:p>
    <w:p>
      <w:pPr>
        <w:spacing w:line="220" w:lineRule="atLeast"/>
        <w:ind w:firstLine="560" w:firstLineChars="200"/>
        <w:rPr>
          <w:sz w:val="28"/>
          <w:szCs w:val="28"/>
        </w:rPr>
      </w:pPr>
      <w:r>
        <w:rPr>
          <w:rFonts w:hint="eastAsia"/>
          <w:b/>
          <w:sz w:val="28"/>
          <w:szCs w:val="28"/>
        </w:rPr>
        <w:t>五、使用非财政拨款结余：</w:t>
      </w:r>
      <w:r>
        <w:rPr>
          <w:rFonts w:hint="eastAsia"/>
          <w:sz w:val="28"/>
          <w:szCs w:val="28"/>
        </w:rPr>
        <w:t>指事业单位使用以前年度积累的非财政拨款结余弥补当年收支差额的金额。</w:t>
      </w:r>
    </w:p>
    <w:p>
      <w:pPr>
        <w:spacing w:line="220" w:lineRule="atLeast"/>
        <w:ind w:firstLine="560" w:firstLineChars="200"/>
        <w:rPr>
          <w:sz w:val="28"/>
          <w:szCs w:val="28"/>
        </w:rPr>
      </w:pPr>
      <w:r>
        <w:rPr>
          <w:rFonts w:hint="eastAsia"/>
          <w:b/>
          <w:sz w:val="28"/>
          <w:szCs w:val="28"/>
        </w:rPr>
        <w:t>六、年初结转和结余：</w:t>
      </w:r>
      <w:r>
        <w:rPr>
          <w:rFonts w:hint="eastAsia"/>
          <w:sz w:val="28"/>
          <w:szCs w:val="28"/>
        </w:rPr>
        <w:t>指单位以前年度尚未完成、结转到本年仍按原规定用途继续使用的资金，或项目已完成等产生的结余资金。</w:t>
      </w:r>
    </w:p>
    <w:p>
      <w:pPr>
        <w:spacing w:line="220" w:lineRule="atLeast"/>
        <w:ind w:firstLine="560" w:firstLineChars="200"/>
        <w:rPr>
          <w:sz w:val="28"/>
          <w:szCs w:val="28"/>
        </w:rPr>
      </w:pPr>
      <w:r>
        <w:rPr>
          <w:rFonts w:hint="eastAsia"/>
          <w:b/>
          <w:sz w:val="28"/>
          <w:szCs w:val="28"/>
        </w:rPr>
        <w:t>七、结余分配：</w:t>
      </w:r>
      <w:r>
        <w:rPr>
          <w:rFonts w:hint="eastAsia"/>
          <w:sz w:val="28"/>
          <w:szCs w:val="28"/>
        </w:rPr>
        <w:t>指事业单位按照会计制度规定缴纳的所得税、提取的专用结余以及转入非财政拨款结余的金额等。</w:t>
      </w:r>
    </w:p>
    <w:p>
      <w:pPr>
        <w:spacing w:line="220" w:lineRule="atLeast"/>
        <w:ind w:firstLine="560" w:firstLineChars="200"/>
        <w:rPr>
          <w:sz w:val="28"/>
          <w:szCs w:val="28"/>
        </w:rPr>
      </w:pPr>
      <w:r>
        <w:rPr>
          <w:rFonts w:hint="eastAsia"/>
          <w:b/>
          <w:sz w:val="28"/>
          <w:szCs w:val="28"/>
        </w:rPr>
        <w:t>八、年末结转和结余：</w:t>
      </w:r>
      <w:r>
        <w:rPr>
          <w:rFonts w:hint="eastAsia"/>
          <w:sz w:val="28"/>
          <w:szCs w:val="28"/>
        </w:rPr>
        <w:t>指单位按有关规定结转到下年或以后年度继续使用的资金，或项目已完成等产生的结余资金。</w:t>
      </w:r>
    </w:p>
    <w:p>
      <w:pPr>
        <w:spacing w:line="220" w:lineRule="atLeast"/>
        <w:ind w:firstLine="560" w:firstLineChars="200"/>
        <w:rPr>
          <w:sz w:val="28"/>
          <w:szCs w:val="28"/>
        </w:rPr>
      </w:pPr>
      <w:r>
        <w:rPr>
          <w:rFonts w:hint="eastAsia"/>
          <w:b/>
          <w:sz w:val="28"/>
          <w:szCs w:val="28"/>
        </w:rPr>
        <w:t>九、基本支出：</w:t>
      </w:r>
      <w:r>
        <w:rPr>
          <w:rFonts w:hint="eastAsia"/>
          <w:sz w:val="28"/>
          <w:szCs w:val="28"/>
        </w:rPr>
        <w:t>指为保障机构正常运转、完成日常工作任务而发生的人员支出和公用支出。</w:t>
      </w:r>
    </w:p>
    <w:p>
      <w:pPr>
        <w:spacing w:line="220" w:lineRule="atLeast"/>
        <w:ind w:firstLine="560" w:firstLineChars="200"/>
        <w:rPr>
          <w:sz w:val="28"/>
          <w:szCs w:val="28"/>
        </w:rPr>
      </w:pPr>
      <w:r>
        <w:rPr>
          <w:rFonts w:hint="eastAsia"/>
          <w:b/>
          <w:sz w:val="28"/>
          <w:szCs w:val="28"/>
        </w:rPr>
        <w:t>十、项目支出：</w:t>
      </w:r>
      <w:r>
        <w:rPr>
          <w:rFonts w:hint="eastAsia"/>
          <w:sz w:val="28"/>
          <w:szCs w:val="28"/>
        </w:rPr>
        <w:t>指在基本支出之外为完成特定行政任务和事业发展目标所发生的支出。</w:t>
      </w:r>
    </w:p>
    <w:p>
      <w:pPr>
        <w:spacing w:line="220" w:lineRule="atLeast"/>
        <w:ind w:firstLine="560" w:firstLineChars="200"/>
        <w:rPr>
          <w:sz w:val="28"/>
          <w:szCs w:val="28"/>
        </w:rPr>
      </w:pPr>
      <w:r>
        <w:rPr>
          <w:rFonts w:hint="eastAsia"/>
          <w:b/>
          <w:sz w:val="28"/>
          <w:szCs w:val="28"/>
        </w:rPr>
        <w:t>十一、“三公”经费：</w:t>
      </w:r>
      <w:r>
        <w:rPr>
          <w:rFonts w:hint="eastAsia"/>
          <w:sz w:val="28"/>
          <w:szCs w:val="28"/>
        </w:rPr>
        <w:t>指省直</w:t>
      </w:r>
      <w:r>
        <w:rPr>
          <w:rFonts w:hint="eastAsia"/>
          <w:sz w:val="28"/>
          <w:szCs w:val="28"/>
          <w:lang w:eastAsia="zh-CN"/>
        </w:rPr>
        <w:t>单位</w:t>
      </w:r>
      <w:r>
        <w:rPr>
          <w:rFonts w:hint="eastAsia"/>
          <w:sz w:val="28"/>
          <w:szCs w:val="28"/>
        </w:rPr>
        <w:t>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220" w:lineRule="atLeast"/>
        <w:ind w:firstLine="560" w:firstLineChars="200"/>
        <w:rPr>
          <w:sz w:val="28"/>
          <w:szCs w:val="28"/>
        </w:rPr>
      </w:pPr>
      <w:r>
        <w:rPr>
          <w:rFonts w:hint="eastAsia"/>
          <w:b/>
          <w:sz w:val="28"/>
          <w:szCs w:val="28"/>
        </w:rPr>
        <w:t>十二、机关运行经费：</w:t>
      </w:r>
      <w:r>
        <w:rPr>
          <w:rFonts w:hint="eastAsia"/>
          <w:sz w:val="28"/>
          <w:szCs w:val="28"/>
        </w:rPr>
        <w:t>指行政单位和参照公务员法管理的事业单位使用一般公共预算安排的基本支出中的日常公用经费支出。</w:t>
      </w:r>
    </w:p>
    <w:p>
      <w:pPr>
        <w:autoSpaceDE w:val="0"/>
        <w:autoSpaceDN w:val="0"/>
        <w:ind w:firstLine="560" w:firstLineChars="200"/>
        <w:rPr>
          <w:rFonts w:ascii="仿宋_GB2312" w:hAnsi="仿宋" w:eastAsia="仿宋_GB2312"/>
          <w:sz w:val="32"/>
          <w:szCs w:val="32"/>
        </w:rPr>
      </w:pPr>
      <w:r>
        <w:rPr>
          <w:rFonts w:hint="eastAsia"/>
          <w:b/>
          <w:sz w:val="28"/>
          <w:szCs w:val="28"/>
        </w:rPr>
        <w:t>十三、政府购买服务：</w:t>
      </w:r>
      <w:r>
        <w:rPr>
          <w:rFonts w:hint="eastAsia"/>
          <w:sz w:val="28"/>
          <w:szCs w:val="28"/>
        </w:rPr>
        <w:t>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autoSpaceDE w:val="0"/>
        <w:autoSpaceDN w:val="0"/>
        <w:ind w:firstLine="560" w:firstLineChars="200"/>
        <w:rPr>
          <w:rFonts w:ascii="仿宋_GB2312" w:hAnsi="仿宋" w:eastAsia="仿宋_GB2312"/>
          <w:sz w:val="32"/>
          <w:szCs w:val="32"/>
        </w:rPr>
      </w:pPr>
      <w:r>
        <w:rPr>
          <w:rFonts w:hint="eastAsia"/>
          <w:b/>
          <w:sz w:val="28"/>
          <w:szCs w:val="28"/>
        </w:rPr>
        <w:t>十四、</w:t>
      </w:r>
      <w:r>
        <w:rPr>
          <w:b/>
          <w:sz w:val="28"/>
          <w:szCs w:val="28"/>
        </w:rPr>
        <w:t>人员经费</w:t>
      </w:r>
      <w:r>
        <w:rPr>
          <w:rFonts w:hint="eastAsia"/>
          <w:b/>
          <w:sz w:val="28"/>
          <w:szCs w:val="28"/>
        </w:rPr>
        <w:t>：</w:t>
      </w:r>
      <w:r>
        <w:rPr>
          <w:sz w:val="28"/>
          <w:szCs w:val="28"/>
        </w:rPr>
        <w:t>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spacing w:after="0" w:line="600" w:lineRule="exact"/>
        <w:ind w:firstLine="560" w:firstLineChars="200"/>
        <w:jc w:val="both"/>
        <w:rPr>
          <w:rFonts w:ascii="仿宋" w:hAnsi="仿宋" w:eastAsia="仿宋"/>
          <w:color w:val="000000" w:themeColor="text1"/>
          <w:sz w:val="32"/>
          <w:szCs w:val="32"/>
        </w:rPr>
      </w:pPr>
      <w:r>
        <w:rPr>
          <w:rFonts w:hint="eastAsia"/>
          <w:b/>
          <w:sz w:val="28"/>
          <w:szCs w:val="28"/>
        </w:rPr>
        <w:t>十五、</w:t>
      </w:r>
      <w:r>
        <w:rPr>
          <w:b/>
          <w:sz w:val="28"/>
          <w:szCs w:val="28"/>
        </w:rPr>
        <w:t>公用经费</w:t>
      </w:r>
      <w:r>
        <w:rPr>
          <w:rFonts w:hint="eastAsia"/>
          <w:b/>
          <w:sz w:val="28"/>
          <w:szCs w:val="28"/>
        </w:rPr>
        <w:t>：</w:t>
      </w:r>
      <w:r>
        <w:rPr>
          <w:sz w:val="28"/>
          <w:szCs w:val="28"/>
        </w:rPr>
        <w:t>主要包括：主要包括：办公费、印刷费、咨询费、手续费、水费、电费、邮电费、取暖费、差旅费、维修（护）费、会议费、培训费、劳务费、委托业务费、工会经费、其他商品和服务支出、办公设备购置、专用设备购置</w:t>
      </w:r>
      <w:r>
        <w:rPr>
          <w:rFonts w:ascii="仿宋" w:hAnsi="仿宋" w:eastAsia="仿宋"/>
          <w:color w:val="000000" w:themeColor="text1"/>
          <w:sz w:val="32"/>
          <w:szCs w:val="32"/>
        </w:rPr>
        <w:t>。</w:t>
      </w:r>
    </w:p>
    <w:p>
      <w:pPr>
        <w:autoSpaceDE w:val="0"/>
        <w:autoSpaceDN w:val="0"/>
        <w:ind w:firstLine="640" w:firstLineChars="200"/>
        <w:rPr>
          <w:rFonts w:ascii="仿宋_GB2312" w:hAnsi="仿宋" w:eastAsia="仿宋_GB2312"/>
          <w:sz w:val="32"/>
          <w:szCs w:val="32"/>
        </w:rPr>
      </w:pPr>
    </w:p>
    <w:p>
      <w:pPr>
        <w:spacing w:line="220" w:lineRule="atLeast"/>
        <w:rPr>
          <w:rFonts w:hint="eastAsia"/>
          <w:sz w:val="28"/>
          <w:szCs w:val="28"/>
        </w:rPr>
      </w:pPr>
      <w:r>
        <w:rPr>
          <w:rFonts w:hint="eastAsia"/>
          <w:b/>
          <w:sz w:val="28"/>
          <w:szCs w:val="28"/>
        </w:rPr>
        <w:t>第五部分 附件</w:t>
      </w:r>
      <w:r>
        <w:rPr>
          <w:rFonts w:hint="eastAsia"/>
          <w:sz w:val="28"/>
          <w:szCs w:val="28"/>
        </w:rPr>
        <w:t xml:space="preserve">      </w:t>
      </w:r>
    </w:p>
    <w:p>
      <w:pPr>
        <w:spacing w:line="220" w:lineRule="atLeast"/>
        <w:ind w:firstLine="560" w:firstLineChars="200"/>
        <w:rPr>
          <w:sz w:val="28"/>
          <w:szCs w:val="28"/>
        </w:rPr>
        <w:sectPr>
          <w:pgSz w:w="11906" w:h="16838"/>
          <w:pgMar w:top="1440" w:right="1800" w:bottom="1440" w:left="1800" w:header="708" w:footer="708" w:gutter="0"/>
          <w:pgNumType w:start="1"/>
          <w:cols w:space="708" w:num="1"/>
          <w:docGrid w:linePitch="360" w:charSpace="0"/>
        </w:sectPr>
      </w:pPr>
      <w:r>
        <w:rPr>
          <w:rFonts w:hint="eastAsia"/>
          <w:sz w:val="28"/>
          <w:szCs w:val="28"/>
        </w:rPr>
        <w:t xml:space="preserve"> 我单位2021年度没有其他需要说明的事项。</w:t>
      </w:r>
    </w:p>
    <w:p>
      <w:pPr>
        <w:spacing w:line="220" w:lineRule="atLeast"/>
        <w:rPr>
          <w:b/>
          <w:sz w:val="28"/>
          <w:szCs w:val="28"/>
        </w:rPr>
      </w:pPr>
    </w:p>
    <w:sectPr>
      <w:type w:val="continuous"/>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E4B83"/>
    <w:multiLevelType w:val="multilevel"/>
    <w:tmpl w:val="040E4B83"/>
    <w:lvl w:ilvl="0" w:tentative="0">
      <w:start w:val="1"/>
      <w:numFmt w:val="decimal"/>
      <w:lvlText w:val="3.2.%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305510B1"/>
    <w:multiLevelType w:val="singleLevel"/>
    <w:tmpl w:val="305510B1"/>
    <w:lvl w:ilvl="0" w:tentative="0">
      <w:start w:val="3"/>
      <w:numFmt w:val="chineseCounting"/>
      <w:suff w:val="nothing"/>
      <w:lvlText w:val="%1、"/>
      <w:lvlJc w:val="left"/>
      <w:rPr>
        <w:rFonts w:hint="eastAsia"/>
      </w:rPr>
    </w:lvl>
  </w:abstractNum>
  <w:abstractNum w:abstractNumId="2">
    <w:nsid w:val="5686EEC2"/>
    <w:multiLevelType w:val="singleLevel"/>
    <w:tmpl w:val="5686EEC2"/>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2ExMWRiNjE0MmM5MTljMWJmNjkwYjg3NTJhMmYwYWQifQ=="/>
  </w:docVars>
  <w:rsids>
    <w:rsidRoot w:val="00D31D50"/>
    <w:rsid w:val="000034DB"/>
    <w:rsid w:val="00015092"/>
    <w:rsid w:val="0005715E"/>
    <w:rsid w:val="00065A92"/>
    <w:rsid w:val="000A5B5D"/>
    <w:rsid w:val="000B4C5F"/>
    <w:rsid w:val="000B6182"/>
    <w:rsid w:val="000C4302"/>
    <w:rsid w:val="000D30E1"/>
    <w:rsid w:val="00112EF7"/>
    <w:rsid w:val="001151FD"/>
    <w:rsid w:val="00116783"/>
    <w:rsid w:val="00130F93"/>
    <w:rsid w:val="00137AEF"/>
    <w:rsid w:val="0014259E"/>
    <w:rsid w:val="00150E25"/>
    <w:rsid w:val="001625CD"/>
    <w:rsid w:val="00180459"/>
    <w:rsid w:val="00182E6D"/>
    <w:rsid w:val="001A555A"/>
    <w:rsid w:val="001B4B3F"/>
    <w:rsid w:val="001B6951"/>
    <w:rsid w:val="001D282C"/>
    <w:rsid w:val="001F6417"/>
    <w:rsid w:val="0022359D"/>
    <w:rsid w:val="00234B1B"/>
    <w:rsid w:val="00250955"/>
    <w:rsid w:val="00257132"/>
    <w:rsid w:val="00261980"/>
    <w:rsid w:val="00280E08"/>
    <w:rsid w:val="002B5A91"/>
    <w:rsid w:val="002C1613"/>
    <w:rsid w:val="00323B43"/>
    <w:rsid w:val="0032692D"/>
    <w:rsid w:val="00331879"/>
    <w:rsid w:val="00345A54"/>
    <w:rsid w:val="00346E9C"/>
    <w:rsid w:val="0034710F"/>
    <w:rsid w:val="003567F3"/>
    <w:rsid w:val="00375439"/>
    <w:rsid w:val="00391C06"/>
    <w:rsid w:val="003A3622"/>
    <w:rsid w:val="003B55EA"/>
    <w:rsid w:val="003B706B"/>
    <w:rsid w:val="003D37D8"/>
    <w:rsid w:val="003D480B"/>
    <w:rsid w:val="003E27ED"/>
    <w:rsid w:val="003F3218"/>
    <w:rsid w:val="00402CD9"/>
    <w:rsid w:val="004129E8"/>
    <w:rsid w:val="00413DEB"/>
    <w:rsid w:val="004207FB"/>
    <w:rsid w:val="00424FEA"/>
    <w:rsid w:val="00426133"/>
    <w:rsid w:val="004358AB"/>
    <w:rsid w:val="004474A0"/>
    <w:rsid w:val="00474F3A"/>
    <w:rsid w:val="00481E35"/>
    <w:rsid w:val="00481E91"/>
    <w:rsid w:val="004B1117"/>
    <w:rsid w:val="004B2FD8"/>
    <w:rsid w:val="004F2386"/>
    <w:rsid w:val="004F3BD3"/>
    <w:rsid w:val="00534286"/>
    <w:rsid w:val="00586AAF"/>
    <w:rsid w:val="00587E89"/>
    <w:rsid w:val="005D49F3"/>
    <w:rsid w:val="005E4446"/>
    <w:rsid w:val="005F5CEF"/>
    <w:rsid w:val="005F7A3E"/>
    <w:rsid w:val="0060630C"/>
    <w:rsid w:val="006138A3"/>
    <w:rsid w:val="00626F0F"/>
    <w:rsid w:val="00632EB9"/>
    <w:rsid w:val="00642893"/>
    <w:rsid w:val="00663F9E"/>
    <w:rsid w:val="006771DA"/>
    <w:rsid w:val="006B2CB6"/>
    <w:rsid w:val="006B5051"/>
    <w:rsid w:val="006C6B8A"/>
    <w:rsid w:val="006D1676"/>
    <w:rsid w:val="006D1A65"/>
    <w:rsid w:val="006D641F"/>
    <w:rsid w:val="006F0084"/>
    <w:rsid w:val="00704A94"/>
    <w:rsid w:val="007144CD"/>
    <w:rsid w:val="007313E8"/>
    <w:rsid w:val="00757151"/>
    <w:rsid w:val="00760958"/>
    <w:rsid w:val="00773998"/>
    <w:rsid w:val="007816A0"/>
    <w:rsid w:val="007917B1"/>
    <w:rsid w:val="007A3408"/>
    <w:rsid w:val="007C53C5"/>
    <w:rsid w:val="00802B59"/>
    <w:rsid w:val="008536B8"/>
    <w:rsid w:val="008563AB"/>
    <w:rsid w:val="00857C8B"/>
    <w:rsid w:val="008719F7"/>
    <w:rsid w:val="008806F0"/>
    <w:rsid w:val="00886BEC"/>
    <w:rsid w:val="00890813"/>
    <w:rsid w:val="00897285"/>
    <w:rsid w:val="008B7726"/>
    <w:rsid w:val="008C3D62"/>
    <w:rsid w:val="008C4AC1"/>
    <w:rsid w:val="008D288F"/>
    <w:rsid w:val="008E7165"/>
    <w:rsid w:val="008F19A4"/>
    <w:rsid w:val="008F27AF"/>
    <w:rsid w:val="00914AA8"/>
    <w:rsid w:val="0092060B"/>
    <w:rsid w:val="00922A35"/>
    <w:rsid w:val="009308A6"/>
    <w:rsid w:val="00943B0A"/>
    <w:rsid w:val="0096078A"/>
    <w:rsid w:val="009669AE"/>
    <w:rsid w:val="0097038A"/>
    <w:rsid w:val="009A533E"/>
    <w:rsid w:val="009A5671"/>
    <w:rsid w:val="009A6452"/>
    <w:rsid w:val="009C4F82"/>
    <w:rsid w:val="009D6C64"/>
    <w:rsid w:val="00A46367"/>
    <w:rsid w:val="00A61FAF"/>
    <w:rsid w:val="00A73E29"/>
    <w:rsid w:val="00A76713"/>
    <w:rsid w:val="00A86E94"/>
    <w:rsid w:val="00A87235"/>
    <w:rsid w:val="00AB7499"/>
    <w:rsid w:val="00AD7358"/>
    <w:rsid w:val="00AD7F7B"/>
    <w:rsid w:val="00AE1E0B"/>
    <w:rsid w:val="00AF1714"/>
    <w:rsid w:val="00AF73B7"/>
    <w:rsid w:val="00B05C60"/>
    <w:rsid w:val="00B11481"/>
    <w:rsid w:val="00B24AE1"/>
    <w:rsid w:val="00B81AA3"/>
    <w:rsid w:val="00B87AD6"/>
    <w:rsid w:val="00B945EF"/>
    <w:rsid w:val="00B96867"/>
    <w:rsid w:val="00B969B8"/>
    <w:rsid w:val="00BD3FF2"/>
    <w:rsid w:val="00BE7EBF"/>
    <w:rsid w:val="00C03799"/>
    <w:rsid w:val="00C11733"/>
    <w:rsid w:val="00C12E0D"/>
    <w:rsid w:val="00C3223F"/>
    <w:rsid w:val="00C3277B"/>
    <w:rsid w:val="00C440E2"/>
    <w:rsid w:val="00C46175"/>
    <w:rsid w:val="00C52272"/>
    <w:rsid w:val="00C858AD"/>
    <w:rsid w:val="00C85A8F"/>
    <w:rsid w:val="00CA1335"/>
    <w:rsid w:val="00CA7839"/>
    <w:rsid w:val="00CB6F81"/>
    <w:rsid w:val="00CC5009"/>
    <w:rsid w:val="00CD5ED3"/>
    <w:rsid w:val="00CD6553"/>
    <w:rsid w:val="00CF2B1A"/>
    <w:rsid w:val="00CF396E"/>
    <w:rsid w:val="00CF497D"/>
    <w:rsid w:val="00CF6512"/>
    <w:rsid w:val="00CF7806"/>
    <w:rsid w:val="00D13827"/>
    <w:rsid w:val="00D21D99"/>
    <w:rsid w:val="00D31D50"/>
    <w:rsid w:val="00D65D54"/>
    <w:rsid w:val="00D6655E"/>
    <w:rsid w:val="00D67621"/>
    <w:rsid w:val="00D70DBD"/>
    <w:rsid w:val="00D71FA2"/>
    <w:rsid w:val="00DB2286"/>
    <w:rsid w:val="00DC2F17"/>
    <w:rsid w:val="00DC4049"/>
    <w:rsid w:val="00DF7E48"/>
    <w:rsid w:val="00E173C3"/>
    <w:rsid w:val="00E2388E"/>
    <w:rsid w:val="00E34FA3"/>
    <w:rsid w:val="00E72552"/>
    <w:rsid w:val="00E751B6"/>
    <w:rsid w:val="00E75761"/>
    <w:rsid w:val="00E92F6D"/>
    <w:rsid w:val="00EC3B89"/>
    <w:rsid w:val="00EC6A3F"/>
    <w:rsid w:val="00EF6880"/>
    <w:rsid w:val="00F03A02"/>
    <w:rsid w:val="00F30906"/>
    <w:rsid w:val="00F3245B"/>
    <w:rsid w:val="00F41066"/>
    <w:rsid w:val="00F610CA"/>
    <w:rsid w:val="00F646A3"/>
    <w:rsid w:val="00F90000"/>
    <w:rsid w:val="00FA0D4A"/>
    <w:rsid w:val="00FA3F9F"/>
    <w:rsid w:val="00FB2978"/>
    <w:rsid w:val="00FC472E"/>
    <w:rsid w:val="00FC523D"/>
    <w:rsid w:val="00FD26CE"/>
    <w:rsid w:val="00FE3D82"/>
    <w:rsid w:val="00FE6260"/>
    <w:rsid w:val="00FF39E1"/>
    <w:rsid w:val="00FF597A"/>
    <w:rsid w:val="00FF740D"/>
    <w:rsid w:val="03A65E8F"/>
    <w:rsid w:val="04B86503"/>
    <w:rsid w:val="07A4541E"/>
    <w:rsid w:val="08262763"/>
    <w:rsid w:val="089014F5"/>
    <w:rsid w:val="09C92A9E"/>
    <w:rsid w:val="0A160CCC"/>
    <w:rsid w:val="0ACD4956"/>
    <w:rsid w:val="0B233041"/>
    <w:rsid w:val="0B8524FE"/>
    <w:rsid w:val="120051E4"/>
    <w:rsid w:val="12BC2275"/>
    <w:rsid w:val="13C752AE"/>
    <w:rsid w:val="161377E5"/>
    <w:rsid w:val="16482125"/>
    <w:rsid w:val="176776D8"/>
    <w:rsid w:val="179D1EA6"/>
    <w:rsid w:val="1A6374CA"/>
    <w:rsid w:val="1B7748EB"/>
    <w:rsid w:val="1C1D66BE"/>
    <w:rsid w:val="208C3974"/>
    <w:rsid w:val="218E5CF5"/>
    <w:rsid w:val="232B475C"/>
    <w:rsid w:val="25202B03"/>
    <w:rsid w:val="266D2640"/>
    <w:rsid w:val="27FA4172"/>
    <w:rsid w:val="29323FCF"/>
    <w:rsid w:val="293C2845"/>
    <w:rsid w:val="2A01358E"/>
    <w:rsid w:val="2A173C40"/>
    <w:rsid w:val="2B412BB4"/>
    <w:rsid w:val="2B5E66FC"/>
    <w:rsid w:val="2C112987"/>
    <w:rsid w:val="2C7B6DFD"/>
    <w:rsid w:val="2CF45FC7"/>
    <w:rsid w:val="2ED1017B"/>
    <w:rsid w:val="2FFB500A"/>
    <w:rsid w:val="2FFF16FB"/>
    <w:rsid w:val="301F6D78"/>
    <w:rsid w:val="30367754"/>
    <w:rsid w:val="31FA7BC4"/>
    <w:rsid w:val="327B2543"/>
    <w:rsid w:val="342A7FEA"/>
    <w:rsid w:val="35E41F6E"/>
    <w:rsid w:val="36266552"/>
    <w:rsid w:val="366442E4"/>
    <w:rsid w:val="36D14FA4"/>
    <w:rsid w:val="396E12C3"/>
    <w:rsid w:val="3A0A476F"/>
    <w:rsid w:val="3BDE7B8C"/>
    <w:rsid w:val="40651102"/>
    <w:rsid w:val="40AE6EE7"/>
    <w:rsid w:val="41DC64A8"/>
    <w:rsid w:val="42700DA1"/>
    <w:rsid w:val="429064C5"/>
    <w:rsid w:val="43E5284B"/>
    <w:rsid w:val="44CB55AC"/>
    <w:rsid w:val="45622B38"/>
    <w:rsid w:val="4685356A"/>
    <w:rsid w:val="46A14816"/>
    <w:rsid w:val="47DE2CD2"/>
    <w:rsid w:val="4A787A3D"/>
    <w:rsid w:val="4BD91D35"/>
    <w:rsid w:val="4BE34F89"/>
    <w:rsid w:val="4C840576"/>
    <w:rsid w:val="4D1E1399"/>
    <w:rsid w:val="4EB95BAF"/>
    <w:rsid w:val="4ECF1CE5"/>
    <w:rsid w:val="4F080D8D"/>
    <w:rsid w:val="4F3407A6"/>
    <w:rsid w:val="506B363D"/>
    <w:rsid w:val="50A1597A"/>
    <w:rsid w:val="50D123ED"/>
    <w:rsid w:val="50FD4BAE"/>
    <w:rsid w:val="51574CD9"/>
    <w:rsid w:val="51976417"/>
    <w:rsid w:val="540D578D"/>
    <w:rsid w:val="54CC5D09"/>
    <w:rsid w:val="550D7A39"/>
    <w:rsid w:val="5511315F"/>
    <w:rsid w:val="55CC74AB"/>
    <w:rsid w:val="56232064"/>
    <w:rsid w:val="56F269C8"/>
    <w:rsid w:val="586A7A3A"/>
    <w:rsid w:val="599D45E4"/>
    <w:rsid w:val="5A061B67"/>
    <w:rsid w:val="5A746353"/>
    <w:rsid w:val="5ADF2C0B"/>
    <w:rsid w:val="5D0E7511"/>
    <w:rsid w:val="5D4C5634"/>
    <w:rsid w:val="5D6F7725"/>
    <w:rsid w:val="5E5E7BBA"/>
    <w:rsid w:val="5F7E2260"/>
    <w:rsid w:val="5FA0059C"/>
    <w:rsid w:val="61337D6A"/>
    <w:rsid w:val="63430046"/>
    <w:rsid w:val="63BC6A2D"/>
    <w:rsid w:val="63C74038"/>
    <w:rsid w:val="63FE0683"/>
    <w:rsid w:val="658809B9"/>
    <w:rsid w:val="658A10EA"/>
    <w:rsid w:val="65B52076"/>
    <w:rsid w:val="67923A53"/>
    <w:rsid w:val="67CC5C3A"/>
    <w:rsid w:val="6803058A"/>
    <w:rsid w:val="6C6363D3"/>
    <w:rsid w:val="6CE604ED"/>
    <w:rsid w:val="6DEF494D"/>
    <w:rsid w:val="6E09332F"/>
    <w:rsid w:val="6E893782"/>
    <w:rsid w:val="70600F74"/>
    <w:rsid w:val="70842847"/>
    <w:rsid w:val="71DE1BCB"/>
    <w:rsid w:val="72492A47"/>
    <w:rsid w:val="72611F85"/>
    <w:rsid w:val="73BD3A5C"/>
    <w:rsid w:val="73EA5144"/>
    <w:rsid w:val="74026C0E"/>
    <w:rsid w:val="764B043F"/>
    <w:rsid w:val="76CB6CF5"/>
    <w:rsid w:val="76F8794E"/>
    <w:rsid w:val="780F6123"/>
    <w:rsid w:val="79033C91"/>
    <w:rsid w:val="796D61CD"/>
    <w:rsid w:val="7A171D3A"/>
    <w:rsid w:val="7A6C2123"/>
    <w:rsid w:val="7A9F2D03"/>
    <w:rsid w:val="7B083A41"/>
    <w:rsid w:val="7C5E2197"/>
    <w:rsid w:val="7D272474"/>
    <w:rsid w:val="7D3C5178"/>
    <w:rsid w:val="7F4F0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lang w:val="zh-CN"/>
    </w:rPr>
  </w:style>
  <w:style w:type="paragraph" w:styleId="3">
    <w:name w:val="heading 3"/>
    <w:basedOn w:val="1"/>
    <w:next w:val="1"/>
    <w:qFormat/>
    <w:uiPriority w:val="9"/>
    <w:pPr>
      <w:keepNext/>
      <w:keepLines/>
      <w:spacing w:before="260" w:after="260" w:line="416" w:lineRule="auto"/>
      <w:outlineLvl w:val="2"/>
    </w:pPr>
    <w:rPr>
      <w:b/>
      <w:bCs/>
      <w:sz w:val="32"/>
      <w:szCs w:val="32"/>
      <w:lang w:val="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5"/>
    <w:semiHidden/>
    <w:uiPriority w:val="99"/>
    <w:rPr>
      <w:rFonts w:ascii="Tahoma" w:hAnsi="Tahoma"/>
      <w:sz w:val="18"/>
      <w:szCs w:val="18"/>
    </w:rPr>
  </w:style>
  <w:style w:type="character" w:customStyle="1" w:styleId="11">
    <w:name w:val="页脚 Char"/>
    <w:basedOn w:val="7"/>
    <w:link w:val="4"/>
    <w:semiHidden/>
    <w:qFormat/>
    <w:uiPriority w:val="99"/>
    <w:rPr>
      <w:rFonts w:ascii="Tahoma" w:hAnsi="Tahoma"/>
      <w:sz w:val="18"/>
      <w:szCs w:val="18"/>
    </w:rPr>
  </w:style>
  <w:style w:type="paragraph" w:customStyle="1" w:styleId="12">
    <w:name w:val="p0"/>
    <w:basedOn w:val="1"/>
    <w:qFormat/>
    <w:uiPriority w:val="0"/>
    <w:pPr>
      <w:adjustRightInd/>
      <w:snapToGrid/>
      <w:spacing w:after="0" w:line="595" w:lineRule="atLeast"/>
      <w:ind w:left="1"/>
      <w:jc w:val="both"/>
    </w:pPr>
    <w:rPr>
      <w:rFonts w:ascii="Times New Roman" w:hAnsi="Times New Roman" w:eastAsia="宋体"/>
      <w:color w:val="000000"/>
      <w:sz w:val="21"/>
      <w:szCs w:val="21"/>
    </w:rPr>
  </w:style>
  <w:style w:type="paragraph" w:customStyle="1" w:styleId="13">
    <w:name w:val="闻政标题3"/>
    <w:basedOn w:val="3"/>
    <w:qFormat/>
    <w:uiPriority w:val="0"/>
    <w:pPr>
      <w:spacing w:before="120" w:after="60" w:line="500" w:lineRule="exact"/>
      <w:outlineLvl w:val="0"/>
    </w:pPr>
    <w:rPr>
      <w:rFonts w:ascii="黑体" w:hAnsi="黑体" w:eastAsia="黑体"/>
      <w:b w:val="0"/>
    </w:rPr>
  </w:style>
  <w:style w:type="paragraph" w:customStyle="1" w:styleId="14">
    <w:name w:val="闻政标题4"/>
    <w:basedOn w:val="2"/>
    <w:qFormat/>
    <w:uiPriority w:val="0"/>
    <w:pPr>
      <w:spacing w:before="120" w:after="60" w:line="500" w:lineRule="exact"/>
      <w:ind w:firstLine="200" w:firstLineChars="200"/>
    </w:pPr>
    <w:rPr>
      <w:rFonts w:ascii="Times New Roman" w:hAnsi="Times New Roman" w:eastAsia="仿宋_GB2312"/>
      <w:sz w:val="28"/>
    </w:rPr>
  </w:style>
  <w:style w:type="paragraph" w:customStyle="1" w:styleId="15">
    <w:name w:val="闻政正文"/>
    <w:basedOn w:val="1"/>
    <w:qFormat/>
    <w:uiPriority w:val="0"/>
    <w:pPr>
      <w:spacing w:line="500" w:lineRule="exact"/>
      <w:ind w:firstLine="560" w:firstLineChars="200"/>
    </w:pPr>
    <w:rPr>
      <w:rFonts w:eastAsia="仿宋_GB2312"/>
      <w:sz w:val="28"/>
      <w:szCs w:val="28"/>
      <w:lang w:val="zh-CN"/>
    </w:rPr>
  </w:style>
  <w:style w:type="paragraph" w:customStyle="1" w:styleId="16">
    <w:name w:val="闻政表"/>
    <w:basedOn w:val="1"/>
    <w:qFormat/>
    <w:uiPriority w:val="0"/>
    <w:pPr>
      <w:spacing w:before="60" w:after="60"/>
      <w:jc w:val="center"/>
    </w:pPr>
    <w:rPr>
      <w:rFonts w:eastAsia="仿宋_GB2312"/>
      <w:b/>
      <w:sz w:val="24"/>
      <w:szCs w:val="2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07FE50-AC7F-4F2B-8016-3B38563A4046}">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10340</Words>
  <Characters>11138</Characters>
  <Lines>82</Lines>
  <Paragraphs>23</Paragraphs>
  <TotalTime>14</TotalTime>
  <ScaleCrop>false</ScaleCrop>
  <LinksUpToDate>false</LinksUpToDate>
  <CharactersWithSpaces>11244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2022-05-16T01:49:00Z</dcterms:created>
  <dc:creator>Administrator</dc:creator>
  <cp:lastModifiedBy>棒棒糖</cp:lastModifiedBy>
  <dcterms:modified xsi:type="dcterms:W3CDTF">2023-05-18T02:06:15Z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9EAE407EFA6B4183B455316ACCA671B4_12</vt:lpwstr>
  </property>
</Properties>
</file>