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附件4</w:t>
      </w:r>
    </w:p>
    <w:p>
      <w:pPr>
        <w:jc w:val="center"/>
        <w:rPr>
          <w:rFonts w:ascii="华文中宋" w:hAnsi="华文中宋" w:eastAsia="华文中宋"/>
          <w:sz w:val="44"/>
          <w:szCs w:val="44"/>
        </w:rPr>
      </w:pPr>
      <w:bookmarkStart w:id="0" w:name="_GoBack"/>
      <w:r>
        <w:rPr>
          <w:rFonts w:hint="eastAsia" w:ascii="华文中宋" w:hAnsi="华文中宋" w:eastAsia="华文中宋"/>
          <w:sz w:val="44"/>
          <w:szCs w:val="44"/>
        </w:rPr>
        <w:t>平顺县工业和信息化局2021年度部门预算相关说明</w:t>
      </w:r>
    </w:p>
    <w:bookmarkEnd w:id="0"/>
    <w:p>
      <w:pPr>
        <w:jc w:val="cente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第一部分  概况</w:t>
      </w:r>
    </w:p>
    <w:p>
      <w:pPr>
        <w:numPr>
          <w:ilvl w:val="0"/>
          <w:numId w:val="1"/>
        </w:numPr>
        <w:rPr>
          <w:rFonts w:hint="eastAsia" w:ascii="楷体" w:hAnsi="楷体" w:eastAsia="楷体"/>
          <w:sz w:val="32"/>
          <w:szCs w:val="32"/>
        </w:rPr>
      </w:pPr>
      <w:r>
        <w:rPr>
          <w:rFonts w:hint="eastAsia" w:ascii="楷体" w:hAnsi="楷体" w:eastAsia="楷体"/>
          <w:sz w:val="32"/>
          <w:szCs w:val="32"/>
        </w:rPr>
        <w:t>本部门职责</w:t>
      </w:r>
    </w:p>
    <w:p>
      <w:pPr>
        <w:numPr>
          <w:ilvl w:val="0"/>
          <w:numId w:val="2"/>
        </w:numPr>
        <w:jc w:val="left"/>
        <w:rPr>
          <w:rFonts w:hint="eastAsia" w:ascii="楷体" w:hAnsi="楷体" w:eastAsia="楷体"/>
          <w:sz w:val="32"/>
          <w:szCs w:val="32"/>
        </w:rPr>
      </w:pPr>
      <w:r>
        <w:rPr>
          <w:rFonts w:hint="eastAsia" w:ascii="楷体" w:hAnsi="楷体" w:eastAsia="楷体"/>
          <w:sz w:val="32"/>
          <w:szCs w:val="32"/>
        </w:rPr>
        <w:t>负责分析经济运行态势，组织实施近期经济运行调控目标、政策措施。</w:t>
      </w:r>
    </w:p>
    <w:p>
      <w:pPr>
        <w:numPr>
          <w:ilvl w:val="0"/>
          <w:numId w:val="2"/>
        </w:numPr>
        <w:rPr>
          <w:rFonts w:hint="eastAsia" w:ascii="楷体" w:hAnsi="楷体" w:eastAsia="楷体"/>
          <w:sz w:val="32"/>
          <w:szCs w:val="32"/>
        </w:rPr>
      </w:pPr>
      <w:r>
        <w:rPr>
          <w:rFonts w:hint="eastAsia" w:ascii="楷体" w:hAnsi="楷体" w:eastAsia="楷体"/>
          <w:sz w:val="32"/>
          <w:szCs w:val="32"/>
        </w:rPr>
        <w:t>按照上级综合经济规章、政策、监督、检查、搜集、整理、分析和发布经济信息。</w:t>
      </w:r>
    </w:p>
    <w:p>
      <w:pPr>
        <w:numPr>
          <w:ilvl w:val="0"/>
          <w:numId w:val="2"/>
        </w:numPr>
        <w:rPr>
          <w:rFonts w:hint="eastAsia" w:ascii="楷体" w:hAnsi="楷体" w:eastAsia="楷体"/>
          <w:sz w:val="32"/>
          <w:szCs w:val="32"/>
        </w:rPr>
      </w:pPr>
      <w:r>
        <w:rPr>
          <w:rFonts w:hint="eastAsia" w:ascii="楷体" w:hAnsi="楷体" w:eastAsia="楷体"/>
          <w:sz w:val="32"/>
          <w:szCs w:val="32"/>
        </w:rPr>
        <w:t>负责流通体制改革。</w:t>
      </w:r>
    </w:p>
    <w:p>
      <w:pPr>
        <w:numPr>
          <w:ilvl w:val="0"/>
          <w:numId w:val="2"/>
        </w:numPr>
        <w:rPr>
          <w:rFonts w:hint="eastAsia" w:ascii="楷体" w:hAnsi="楷体" w:eastAsia="楷体"/>
          <w:sz w:val="32"/>
          <w:szCs w:val="32"/>
        </w:rPr>
      </w:pPr>
      <w:r>
        <w:rPr>
          <w:rFonts w:hint="eastAsia" w:ascii="楷体" w:hAnsi="楷体" w:eastAsia="楷体"/>
          <w:sz w:val="32"/>
          <w:szCs w:val="32"/>
        </w:rPr>
        <w:t>负责全县国有企业的资产监督、检查、国有企业资产的保只值增值，指导全县国有企业的改革。</w:t>
      </w:r>
    </w:p>
    <w:p>
      <w:pPr>
        <w:numPr>
          <w:ilvl w:val="0"/>
          <w:numId w:val="2"/>
        </w:numPr>
        <w:rPr>
          <w:rFonts w:hint="eastAsia" w:ascii="楷体" w:hAnsi="楷体" w:eastAsia="楷体"/>
          <w:sz w:val="32"/>
          <w:szCs w:val="32"/>
        </w:rPr>
      </w:pPr>
      <w:r>
        <w:rPr>
          <w:rFonts w:hint="eastAsia" w:ascii="楷体" w:hAnsi="楷体" w:eastAsia="楷体"/>
          <w:sz w:val="32"/>
          <w:szCs w:val="32"/>
        </w:rPr>
        <w:t>承担工业和信息化应急管理、产业安全和国防动员有关工作。</w:t>
      </w:r>
    </w:p>
    <w:p>
      <w:pPr>
        <w:numPr>
          <w:ilvl w:val="0"/>
          <w:numId w:val="2"/>
        </w:numPr>
        <w:rPr>
          <w:rFonts w:ascii="楷体" w:hAnsi="楷体" w:eastAsia="楷体"/>
          <w:sz w:val="32"/>
          <w:szCs w:val="32"/>
        </w:rPr>
      </w:pPr>
      <w:r>
        <w:rPr>
          <w:rFonts w:hint="eastAsia" w:ascii="楷体" w:hAnsi="楷体" w:eastAsia="楷体"/>
          <w:sz w:val="32"/>
          <w:szCs w:val="32"/>
        </w:rPr>
        <w:t>完成县委、县政府交办的其他任务。</w:t>
      </w:r>
    </w:p>
    <w:p>
      <w:pPr>
        <w:numPr>
          <w:ilvl w:val="0"/>
          <w:numId w:val="1"/>
        </w:numPr>
        <w:rPr>
          <w:rFonts w:hint="eastAsia" w:ascii="楷体" w:hAnsi="楷体" w:eastAsia="楷体"/>
          <w:sz w:val="32"/>
          <w:szCs w:val="32"/>
        </w:rPr>
      </w:pPr>
      <w:r>
        <w:rPr>
          <w:rFonts w:hint="eastAsia" w:ascii="楷体" w:hAnsi="楷体" w:eastAsia="楷体"/>
          <w:sz w:val="32"/>
          <w:szCs w:val="32"/>
        </w:rPr>
        <w:t>机构设置情况</w:t>
      </w:r>
    </w:p>
    <w:p>
      <w:pPr>
        <w:ind w:left="1360"/>
        <w:rPr>
          <w:rFonts w:ascii="楷体" w:hAnsi="楷体" w:eastAsia="楷体"/>
          <w:sz w:val="32"/>
          <w:szCs w:val="32"/>
        </w:rPr>
      </w:pPr>
      <w:r>
        <w:rPr>
          <w:rFonts w:hint="eastAsia" w:ascii="楷体" w:hAnsi="楷体" w:eastAsia="楷体"/>
          <w:sz w:val="32"/>
          <w:szCs w:val="32"/>
        </w:rPr>
        <w:t>内部现设置有：综合办公室、经济运行股、安全生产监督股、技术与信息化股、国有资产管理服务中心。</w:t>
      </w:r>
    </w:p>
    <w:p>
      <w:pPr>
        <w:rPr>
          <w:rFonts w:ascii="楷体" w:hAnsi="楷体" w:eastAsia="楷体"/>
          <w:sz w:val="32"/>
          <w:szCs w:val="32"/>
        </w:rPr>
      </w:pPr>
      <w:r>
        <w:rPr>
          <w:rFonts w:hint="eastAsia" w:ascii="楷体" w:hAnsi="楷体" w:eastAsia="楷体"/>
          <w:sz w:val="32"/>
          <w:szCs w:val="32"/>
        </w:rPr>
        <w:t>第二部分  2021年度部门预算情况说明</w:t>
      </w:r>
    </w:p>
    <w:p>
      <w:pPr>
        <w:ind w:firstLine="636"/>
        <w:rPr>
          <w:rFonts w:hint="eastAsia" w:ascii="楷体" w:hAnsi="楷体" w:eastAsia="楷体"/>
          <w:sz w:val="32"/>
          <w:szCs w:val="32"/>
        </w:rPr>
      </w:pPr>
      <w:r>
        <w:rPr>
          <w:rFonts w:hint="eastAsia" w:ascii="楷体" w:hAnsi="楷体" w:eastAsia="楷体"/>
          <w:sz w:val="32"/>
          <w:szCs w:val="32"/>
        </w:rPr>
        <w:t>2021年度部门预算数据变动情况及原因</w:t>
      </w:r>
    </w:p>
    <w:p>
      <w:pPr>
        <w:ind w:firstLine="636"/>
        <w:rPr>
          <w:rFonts w:ascii="楷体" w:hAnsi="楷体" w:eastAsia="楷体"/>
          <w:sz w:val="32"/>
          <w:szCs w:val="32"/>
        </w:rPr>
      </w:pPr>
      <w:r>
        <w:rPr>
          <w:rFonts w:hint="eastAsia" w:ascii="楷体" w:hAnsi="楷体" w:eastAsia="楷体"/>
          <w:sz w:val="32"/>
          <w:szCs w:val="32"/>
        </w:rPr>
        <w:t xml:space="preserve">   平顺县工信局2021年收入预算 10820.79万元，2020年收入预算3465.3565万元，本年度增多7355.4335万元，增加的原因为2021年预算单位增加了6家。</w:t>
      </w:r>
    </w:p>
    <w:p>
      <w:pPr>
        <w:ind w:firstLine="636"/>
        <w:rPr>
          <w:rFonts w:hint="eastAsia" w:ascii="楷体" w:hAnsi="楷体" w:eastAsia="楷体"/>
          <w:sz w:val="32"/>
          <w:szCs w:val="32"/>
        </w:rPr>
      </w:pPr>
      <w:r>
        <w:rPr>
          <w:rFonts w:hint="eastAsia" w:ascii="楷体" w:hAnsi="楷体" w:eastAsia="楷体"/>
          <w:sz w:val="32"/>
          <w:szCs w:val="32"/>
        </w:rPr>
        <w:t>二、“三公”经费增减变动原因说明</w:t>
      </w:r>
    </w:p>
    <w:p>
      <w:pPr>
        <w:ind w:firstLine="636"/>
        <w:rPr>
          <w:rFonts w:ascii="楷体" w:hAnsi="楷体" w:eastAsia="楷体"/>
          <w:sz w:val="32"/>
          <w:szCs w:val="32"/>
        </w:rPr>
      </w:pPr>
      <w:r>
        <w:rPr>
          <w:rFonts w:hint="eastAsia" w:ascii="楷体" w:hAnsi="楷体" w:eastAsia="楷体"/>
          <w:sz w:val="32"/>
          <w:szCs w:val="32"/>
        </w:rPr>
        <w:t xml:space="preserve">    “三公”经费2021年预算172.05万元，2020年“三公”经费预算1500元，同比增加了171.9万元，增加的原因是预算单位增加了6家。</w:t>
      </w:r>
    </w:p>
    <w:p>
      <w:pPr>
        <w:numPr>
          <w:ilvl w:val="0"/>
          <w:numId w:val="1"/>
        </w:numPr>
        <w:rPr>
          <w:rFonts w:hint="eastAsia" w:ascii="楷体" w:hAnsi="楷体" w:eastAsia="楷体"/>
          <w:sz w:val="32"/>
          <w:szCs w:val="32"/>
        </w:rPr>
      </w:pPr>
      <w:r>
        <w:rPr>
          <w:rFonts w:hint="eastAsia" w:ascii="楷体" w:hAnsi="楷体" w:eastAsia="楷体"/>
          <w:sz w:val="32"/>
          <w:szCs w:val="32"/>
        </w:rPr>
        <w:t>机关运行经费增减变动原因说明</w:t>
      </w:r>
    </w:p>
    <w:p>
      <w:pPr>
        <w:ind w:left="1360"/>
        <w:rPr>
          <w:rFonts w:ascii="楷体" w:hAnsi="楷体" w:eastAsia="楷体"/>
          <w:sz w:val="32"/>
          <w:szCs w:val="32"/>
        </w:rPr>
      </w:pPr>
      <w:r>
        <w:rPr>
          <w:rFonts w:hint="eastAsia" w:ascii="楷体" w:hAnsi="楷体" w:eastAsia="楷体"/>
          <w:sz w:val="32"/>
          <w:szCs w:val="32"/>
        </w:rPr>
        <w:t>平顺县工信局2021年机关运行经费预算财政拨款27.37万元，2020年运行经费财政拨款预算27.0235万元，比上年预算增加0.3465万元，原因是：脱贫攻坚、企业安全、防火、国有企业改革等下乡工作的增多。</w:t>
      </w:r>
    </w:p>
    <w:p>
      <w:pPr>
        <w:ind w:firstLine="636"/>
        <w:rPr>
          <w:rFonts w:hint="eastAsia" w:ascii="楷体" w:hAnsi="楷体" w:eastAsia="楷体"/>
          <w:sz w:val="32"/>
          <w:szCs w:val="32"/>
        </w:rPr>
      </w:pPr>
      <w:r>
        <w:rPr>
          <w:rFonts w:hint="eastAsia" w:ascii="楷体" w:hAnsi="楷体" w:eastAsia="楷体"/>
          <w:sz w:val="32"/>
          <w:szCs w:val="32"/>
        </w:rPr>
        <w:t>四、其他说明</w:t>
      </w:r>
    </w:p>
    <w:p>
      <w:pPr>
        <w:ind w:firstLine="636"/>
        <w:rPr>
          <w:rFonts w:ascii="楷体" w:hAnsi="楷体" w:eastAsia="楷体" w:cs="楷体_GB2312"/>
          <w:sz w:val="32"/>
          <w:szCs w:val="32"/>
        </w:rPr>
      </w:pPr>
      <w:r>
        <w:rPr>
          <w:rFonts w:hint="eastAsia" w:ascii="楷体" w:hAnsi="楷体" w:eastAsia="楷体" w:cs="楷体_GB2312"/>
          <w:sz w:val="32"/>
          <w:szCs w:val="32"/>
        </w:rPr>
        <w:t>（一）政府采购情况</w:t>
      </w:r>
    </w:p>
    <w:p>
      <w:pPr>
        <w:ind w:firstLine="636"/>
        <w:rPr>
          <w:rFonts w:ascii="楷体" w:hAnsi="楷体" w:eastAsia="楷体" w:cs="楷体_GB2312"/>
          <w:sz w:val="32"/>
          <w:szCs w:val="32"/>
        </w:rPr>
      </w:pPr>
      <w:r>
        <w:rPr>
          <w:rFonts w:hint="eastAsia" w:ascii="楷体" w:hAnsi="楷体" w:eastAsia="楷体" w:cs="楷体_GB2312"/>
          <w:sz w:val="32"/>
          <w:szCs w:val="32"/>
        </w:rPr>
        <w:t>2021年工信局政府采购预算总额0.5万元，其中：政府采购货物预算0.5万元。</w:t>
      </w:r>
    </w:p>
    <w:p>
      <w:pPr>
        <w:ind w:firstLine="636"/>
        <w:rPr>
          <w:rFonts w:hint="eastAsia" w:ascii="楷体" w:hAnsi="楷体" w:eastAsia="楷体" w:cs="楷体_GB2312"/>
          <w:sz w:val="32"/>
          <w:szCs w:val="32"/>
        </w:rPr>
      </w:pPr>
      <w:r>
        <w:rPr>
          <w:rFonts w:hint="eastAsia" w:ascii="楷体" w:hAnsi="楷体" w:eastAsia="楷体" w:cs="楷体_GB2312"/>
          <w:sz w:val="32"/>
          <w:szCs w:val="32"/>
        </w:rPr>
        <w:t>（二）政府购买服务指导性目录</w:t>
      </w:r>
    </w:p>
    <w:p>
      <w:pPr>
        <w:ind w:firstLine="636"/>
        <w:rPr>
          <w:rFonts w:ascii="楷体" w:hAnsi="楷体" w:eastAsia="楷体" w:cs="楷体_GB2312"/>
          <w:sz w:val="32"/>
          <w:szCs w:val="32"/>
        </w:rPr>
      </w:pPr>
      <w:r>
        <w:rPr>
          <w:rFonts w:hint="eastAsia" w:ascii="楷体" w:hAnsi="楷体" w:eastAsia="楷体" w:cs="楷体_GB2312"/>
          <w:sz w:val="32"/>
          <w:szCs w:val="32"/>
        </w:rPr>
        <w:t>无</w:t>
      </w:r>
    </w:p>
    <w:p>
      <w:pPr>
        <w:ind w:firstLine="636"/>
        <w:rPr>
          <w:rFonts w:ascii="楷体" w:hAnsi="楷体" w:eastAsia="楷体" w:cs="楷体_GB2312"/>
          <w:sz w:val="32"/>
          <w:szCs w:val="32"/>
        </w:rPr>
      </w:pPr>
      <w:r>
        <w:rPr>
          <w:rFonts w:hint="eastAsia" w:ascii="楷体" w:hAnsi="楷体" w:eastAsia="楷体" w:cs="楷体_GB2312"/>
          <w:sz w:val="32"/>
          <w:szCs w:val="32"/>
        </w:rPr>
        <w:t>（三）国有资产占有使用情况</w:t>
      </w:r>
    </w:p>
    <w:p>
      <w:pPr>
        <w:ind w:firstLine="636"/>
        <w:rPr>
          <w:rFonts w:ascii="楷体" w:hAnsi="楷体" w:eastAsia="楷体" w:cs="楷体_GB2312"/>
          <w:sz w:val="32"/>
          <w:szCs w:val="32"/>
        </w:rPr>
      </w:pPr>
      <w:r>
        <w:rPr>
          <w:rFonts w:hint="eastAsia" w:ascii="楷体" w:hAnsi="楷体" w:eastAsia="楷体" w:cs="楷体_GB2312"/>
          <w:sz w:val="32"/>
          <w:szCs w:val="32"/>
        </w:rPr>
        <w:t>1.车辆情况；无</w:t>
      </w:r>
    </w:p>
    <w:p>
      <w:pPr>
        <w:ind w:firstLine="636"/>
        <w:rPr>
          <w:rFonts w:ascii="楷体" w:hAnsi="楷体" w:eastAsia="楷体" w:cs="楷体_GB2312"/>
          <w:sz w:val="32"/>
          <w:szCs w:val="32"/>
        </w:rPr>
      </w:pPr>
      <w:r>
        <w:rPr>
          <w:rFonts w:hint="eastAsia" w:ascii="楷体" w:hAnsi="楷体" w:eastAsia="楷体" w:cs="楷体_GB2312"/>
          <w:sz w:val="32"/>
          <w:szCs w:val="32"/>
        </w:rPr>
        <w:t>2.房屋情况；本单位办公用房708平方米</w:t>
      </w:r>
    </w:p>
    <w:p>
      <w:pPr>
        <w:ind w:firstLine="636"/>
        <w:rPr>
          <w:rFonts w:ascii="楷体" w:hAnsi="楷体" w:eastAsia="楷体" w:cs="楷体_GB2312"/>
          <w:sz w:val="32"/>
          <w:szCs w:val="32"/>
        </w:rPr>
      </w:pPr>
      <w:r>
        <w:rPr>
          <w:rFonts w:hint="eastAsia" w:ascii="楷体" w:hAnsi="楷体" w:eastAsia="楷体" w:cs="楷体_GB2312"/>
          <w:sz w:val="32"/>
          <w:szCs w:val="32"/>
        </w:rPr>
        <w:t>3.其他国有资产占有使用情况:  无</w:t>
      </w:r>
    </w:p>
    <w:p>
      <w:pPr>
        <w:ind w:firstLine="636"/>
        <w:rPr>
          <w:rFonts w:hint="eastAsia" w:ascii="楷体" w:hAnsi="楷体" w:eastAsia="楷体" w:cs="楷体_GB2312"/>
          <w:sz w:val="32"/>
          <w:szCs w:val="32"/>
        </w:rPr>
      </w:pPr>
      <w:r>
        <w:rPr>
          <w:rFonts w:hint="eastAsia" w:ascii="楷体" w:hAnsi="楷体" w:eastAsia="楷体" w:cs="楷体_GB2312"/>
          <w:sz w:val="32"/>
          <w:szCs w:val="32"/>
        </w:rPr>
        <w:t>（四）绩效管理情况</w:t>
      </w:r>
    </w:p>
    <w:p>
      <w:pPr>
        <w:ind w:firstLine="636"/>
        <w:rPr>
          <w:rFonts w:ascii="楷体" w:hAnsi="楷体" w:eastAsia="楷体" w:cs="楷体_GB2312"/>
          <w:sz w:val="32"/>
          <w:szCs w:val="32"/>
        </w:rPr>
      </w:pPr>
    </w:p>
    <w:p>
      <w:pPr>
        <w:ind w:firstLine="636"/>
        <w:rPr>
          <w:rFonts w:ascii="楷体" w:hAnsi="楷体" w:eastAsia="楷体" w:cs="楷体_GB2312"/>
          <w:sz w:val="32"/>
          <w:szCs w:val="32"/>
        </w:rPr>
      </w:pPr>
      <w:r>
        <w:rPr>
          <w:rFonts w:hint="eastAsia" w:ascii="楷体" w:hAnsi="楷体" w:eastAsia="楷体" w:cs="楷体_GB2312"/>
          <w:sz w:val="32"/>
          <w:szCs w:val="32"/>
        </w:rPr>
        <w:t>2021年工信局实行绩效目标管理的项目11个，涉及一般公共预算当年拨款 1157.74万元。</w:t>
      </w:r>
    </w:p>
    <w:p>
      <w:pPr>
        <w:numPr>
          <w:ilvl w:val="0"/>
          <w:numId w:val="3"/>
        </w:numPr>
        <w:ind w:firstLine="636"/>
        <w:rPr>
          <w:rFonts w:hint="eastAsia" w:ascii="楷体" w:hAnsi="楷体" w:eastAsia="楷体" w:cs="楷体_GB2312"/>
          <w:sz w:val="32"/>
          <w:szCs w:val="32"/>
        </w:rPr>
      </w:pPr>
      <w:r>
        <w:rPr>
          <w:rFonts w:hint="eastAsia" w:ascii="楷体" w:hAnsi="楷体" w:eastAsia="楷体" w:cs="楷体_GB2312"/>
          <w:sz w:val="32"/>
          <w:szCs w:val="32"/>
        </w:rPr>
        <w:t>非税收入和基金执收情况</w:t>
      </w:r>
    </w:p>
    <w:p>
      <w:pPr>
        <w:ind w:firstLine="800" w:firstLineChars="250"/>
        <w:rPr>
          <w:rFonts w:hint="eastAsia" w:ascii="楷体" w:hAnsi="楷体" w:eastAsia="楷体" w:cs="楷体_GB2312"/>
          <w:sz w:val="32"/>
          <w:szCs w:val="32"/>
        </w:rPr>
      </w:pPr>
      <w:r>
        <w:rPr>
          <w:rFonts w:hint="eastAsia" w:ascii="楷体" w:hAnsi="楷体" w:eastAsia="楷体" w:cs="楷体_GB2312"/>
          <w:sz w:val="32"/>
          <w:szCs w:val="32"/>
        </w:rPr>
        <w:t>我单位无非税收入和基金执收情况</w:t>
      </w:r>
    </w:p>
    <w:p>
      <w:pPr>
        <w:numPr>
          <w:ilvl w:val="0"/>
          <w:numId w:val="3"/>
        </w:numPr>
        <w:ind w:firstLine="636"/>
        <w:rPr>
          <w:rFonts w:ascii="楷体" w:hAnsi="楷体" w:eastAsia="楷体" w:cs="楷体_GB2312"/>
          <w:sz w:val="32"/>
          <w:szCs w:val="32"/>
        </w:rPr>
      </w:pPr>
      <w:r>
        <w:rPr>
          <w:rFonts w:hint="eastAsia" w:ascii="楷体" w:hAnsi="楷体" w:eastAsia="楷体" w:cs="楷体_GB2312"/>
          <w:sz w:val="32"/>
          <w:szCs w:val="32"/>
        </w:rPr>
        <w:t xml:space="preserve"> 其他：无</w:t>
      </w:r>
    </w:p>
    <w:p>
      <w:pPr>
        <w:rPr>
          <w:rFonts w:ascii="楷体" w:hAnsi="楷体" w:eastAsia="楷体"/>
          <w:sz w:val="32"/>
          <w:szCs w:val="32"/>
        </w:rPr>
      </w:pPr>
      <w:r>
        <w:rPr>
          <w:rFonts w:hint="eastAsia" w:ascii="楷体" w:hAnsi="楷体" w:eastAsia="楷体"/>
          <w:sz w:val="32"/>
          <w:szCs w:val="32"/>
        </w:rPr>
        <w:t>第三部分  名词解释</w:t>
      </w:r>
    </w:p>
    <w:p>
      <w:pPr>
        <w:autoSpaceDE w:val="0"/>
        <w:autoSpaceDN w:val="0"/>
        <w:adjustRightInd w:val="0"/>
        <w:ind w:firstLine="640" w:firstLineChars="200"/>
        <w:rPr>
          <w:rFonts w:ascii="楷体" w:hAnsi="楷体" w:eastAsia="楷体" w:cs="楷体_GB2312"/>
          <w:sz w:val="32"/>
          <w:szCs w:val="32"/>
        </w:rPr>
      </w:pPr>
      <w:r>
        <w:rPr>
          <w:rFonts w:hint="eastAsia" w:ascii="楷体" w:hAnsi="楷体" w:eastAsia="楷体" w:cs="楷体_GB2312"/>
          <w:sz w:val="32"/>
          <w:szCs w:val="32"/>
        </w:rPr>
        <w:t>（一）基本支出：指为保障机构正常运转、完成日常</w:t>
      </w:r>
    </w:p>
    <w:p>
      <w:pPr>
        <w:autoSpaceDE w:val="0"/>
        <w:autoSpaceDN w:val="0"/>
        <w:adjustRightInd w:val="0"/>
        <w:rPr>
          <w:rFonts w:ascii="楷体" w:hAnsi="楷体" w:eastAsia="楷体" w:cs="楷体_GB2312"/>
          <w:sz w:val="32"/>
          <w:szCs w:val="32"/>
        </w:rPr>
      </w:pPr>
      <w:r>
        <w:rPr>
          <w:rFonts w:hint="eastAsia" w:ascii="楷体" w:hAnsi="楷体" w:eastAsia="楷体" w:cs="楷体_GB2312"/>
          <w:sz w:val="32"/>
          <w:szCs w:val="32"/>
        </w:rPr>
        <w:t>工作任务而发生的人员支出和公用支出。</w:t>
      </w:r>
    </w:p>
    <w:p>
      <w:pPr>
        <w:autoSpaceDE w:val="0"/>
        <w:autoSpaceDN w:val="0"/>
        <w:adjustRightInd w:val="0"/>
        <w:ind w:firstLine="640" w:firstLineChars="200"/>
        <w:rPr>
          <w:rFonts w:ascii="楷体" w:hAnsi="楷体" w:eastAsia="楷体" w:cs="楷体_GB2312"/>
          <w:sz w:val="32"/>
          <w:szCs w:val="32"/>
        </w:rPr>
      </w:pPr>
      <w:r>
        <w:rPr>
          <w:rFonts w:hint="eastAsia" w:ascii="楷体" w:hAnsi="楷体" w:eastAsia="楷体" w:cs="楷体_GB2312"/>
          <w:sz w:val="32"/>
          <w:szCs w:val="32"/>
        </w:rPr>
        <w:t>（二）项目支出：指在基本支出之外为完成特定行政任</w:t>
      </w:r>
    </w:p>
    <w:p>
      <w:pPr>
        <w:rPr>
          <w:rFonts w:ascii="楷体" w:hAnsi="楷体" w:eastAsia="楷体" w:cs="楷体_GB2312"/>
          <w:sz w:val="32"/>
          <w:szCs w:val="32"/>
        </w:rPr>
      </w:pPr>
      <w:r>
        <w:rPr>
          <w:rFonts w:hint="eastAsia" w:ascii="楷体" w:hAnsi="楷体" w:eastAsia="楷体" w:cs="楷体_GB2312"/>
          <w:sz w:val="32"/>
          <w:szCs w:val="32"/>
        </w:rPr>
        <w:t>务和事业发展目标所发生的支出。</w:t>
      </w:r>
    </w:p>
    <w:p>
      <w:pPr>
        <w:autoSpaceDE w:val="0"/>
        <w:autoSpaceDN w:val="0"/>
        <w:adjustRightInd w:val="0"/>
        <w:ind w:firstLine="640" w:firstLineChars="200"/>
        <w:rPr>
          <w:rFonts w:ascii="楷体" w:hAnsi="楷体" w:eastAsia="楷体" w:cs="楷体_GB2312"/>
          <w:sz w:val="32"/>
          <w:szCs w:val="32"/>
        </w:rPr>
      </w:pPr>
      <w:r>
        <w:rPr>
          <w:rFonts w:hint="eastAsia" w:ascii="楷体" w:hAnsi="楷体" w:eastAsia="楷体" w:cs="楷体_GB2312"/>
          <w:sz w:val="32"/>
          <w:szCs w:val="32"/>
        </w:rPr>
        <w:t>（三）“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0" w:firstLineChars="200"/>
        <w:rPr>
          <w:rFonts w:ascii="楷体" w:hAnsi="楷体" w:eastAsia="楷体" w:cs="楷体_GB2312"/>
          <w:sz w:val="32"/>
          <w:szCs w:val="32"/>
        </w:rPr>
      </w:pPr>
      <w:r>
        <w:rPr>
          <w:rFonts w:hint="eastAsia" w:ascii="楷体" w:hAnsi="楷体" w:eastAsia="楷体" w:cs="楷体_GB2312"/>
          <w:sz w:val="32"/>
          <w:szCs w:val="32"/>
        </w:rPr>
        <w:t>（四）机关运行经费：指行政单位和参照公务员法管理的事业单位使用一般公共预算安排的基本支出中的日常公用经费支出。</w:t>
      </w:r>
    </w:p>
    <w:p>
      <w:pPr>
        <w:rPr>
          <w:rFonts w:ascii="楷体" w:hAnsi="楷体" w:eastAsia="楷体" w:cs="楷体_GB2312"/>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华文中宋">
    <w:altName w:val="汉仪中宋简"/>
    <w:panose1 w:val="00000000000000000000"/>
    <w:charset w:val="86"/>
    <w:family w:val="auto"/>
    <w:pitch w:val="default"/>
    <w:sig w:usb0="00000000" w:usb1="0000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楷体_GB2312">
    <w:altName w:val="方正楷体_GBK"/>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Style w:val="6"/>
                            </w:rPr>
                          </w:pPr>
                          <w:r>
                            <w:fldChar w:fldCharType="begin"/>
                          </w:r>
                          <w:r>
                            <w:rPr>
                              <w:rStyle w:val="6"/>
                            </w:rPr>
                            <w:instrText xml:space="preserve">PAGE  </w:instrText>
                          </w:r>
                          <w:r>
                            <w:fldChar w:fldCharType="separate"/>
                          </w:r>
                          <w:r>
                            <w:rPr>
                              <w:rStyle w:val="6"/>
                            </w:rPr>
                            <w:t>2</w:t>
                          </w:r>
                          <w:r>
                            <w:fldChar w:fldCharType="end"/>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J8c/wy1AQAAVAMAAA4AAAAAAAAAAQAgAAAANAEAAGRycy9lMm9E&#10;b2MueG1sUEsFBgAAAAAGAAYAWQEAAFsFAAAAAA==&#10;">
              <v:fill on="f" focussize="0,0"/>
              <v:stroke on="f"/>
              <v:imagedata o:title=""/>
              <o:lock v:ext="edit" aspectratio="f"/>
              <v:textbox inset="0mm,0mm,0mm,0mm" style="mso-fit-shape-to-text:t;">
                <w:txbxContent>
                  <w:p>
                    <w:pPr>
                      <w:pStyle w:val="2"/>
                      <w:rPr>
                        <w:rStyle w:val="6"/>
                      </w:rPr>
                    </w:pPr>
                    <w:r>
                      <w:fldChar w:fldCharType="begin"/>
                    </w:r>
                    <w:r>
                      <w:rPr>
                        <w:rStyle w:val="6"/>
                      </w:rPr>
                      <w:instrText xml:space="preserve">PAGE  </w:instrText>
                    </w:r>
                    <w:r>
                      <w:fldChar w:fldCharType="separate"/>
                    </w:r>
                    <w:r>
                      <w:rPr>
                        <w:rStyle w:val="6"/>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F35C5"/>
    <w:multiLevelType w:val="multilevel"/>
    <w:tmpl w:val="041F35C5"/>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8D476BD"/>
    <w:multiLevelType w:val="singleLevel"/>
    <w:tmpl w:val="58D476BD"/>
    <w:lvl w:ilvl="0" w:tentative="0">
      <w:start w:val="5"/>
      <w:numFmt w:val="chineseCounting"/>
      <w:suff w:val="space"/>
      <w:lvlText w:val="（%1）"/>
      <w:lvlJc w:val="left"/>
    </w:lvl>
  </w:abstractNum>
  <w:abstractNum w:abstractNumId="2">
    <w:nsid w:val="626455A1"/>
    <w:multiLevelType w:val="multilevel"/>
    <w:tmpl w:val="626455A1"/>
    <w:lvl w:ilvl="0" w:tentative="0">
      <w:start w:val="1"/>
      <w:numFmt w:val="decimal"/>
      <w:lvlText w:val="%1、"/>
      <w:lvlJc w:val="left"/>
      <w:pPr>
        <w:ind w:left="2080" w:hanging="720"/>
      </w:pPr>
      <w:rPr>
        <w:rFonts w:hint="default"/>
      </w:rPr>
    </w:lvl>
    <w:lvl w:ilvl="1" w:tentative="0">
      <w:start w:val="1"/>
      <w:numFmt w:val="lowerLetter"/>
      <w:lvlText w:val="%2)"/>
      <w:lvlJc w:val="left"/>
      <w:pPr>
        <w:ind w:left="2200" w:hanging="420"/>
      </w:pPr>
    </w:lvl>
    <w:lvl w:ilvl="2" w:tentative="0">
      <w:start w:val="1"/>
      <w:numFmt w:val="lowerRoman"/>
      <w:lvlText w:val="%3."/>
      <w:lvlJc w:val="right"/>
      <w:pPr>
        <w:ind w:left="2620" w:hanging="420"/>
      </w:pPr>
    </w:lvl>
    <w:lvl w:ilvl="3" w:tentative="0">
      <w:start w:val="1"/>
      <w:numFmt w:val="decimal"/>
      <w:lvlText w:val="%4."/>
      <w:lvlJc w:val="left"/>
      <w:pPr>
        <w:ind w:left="3040" w:hanging="420"/>
      </w:pPr>
    </w:lvl>
    <w:lvl w:ilvl="4" w:tentative="0">
      <w:start w:val="1"/>
      <w:numFmt w:val="lowerLetter"/>
      <w:lvlText w:val="%5)"/>
      <w:lvlJc w:val="left"/>
      <w:pPr>
        <w:ind w:left="3460" w:hanging="420"/>
      </w:pPr>
    </w:lvl>
    <w:lvl w:ilvl="5" w:tentative="0">
      <w:start w:val="1"/>
      <w:numFmt w:val="lowerRoman"/>
      <w:lvlText w:val="%6."/>
      <w:lvlJc w:val="right"/>
      <w:pPr>
        <w:ind w:left="3880" w:hanging="420"/>
      </w:pPr>
    </w:lvl>
    <w:lvl w:ilvl="6" w:tentative="0">
      <w:start w:val="1"/>
      <w:numFmt w:val="decimal"/>
      <w:lvlText w:val="%7."/>
      <w:lvlJc w:val="left"/>
      <w:pPr>
        <w:ind w:left="4300" w:hanging="420"/>
      </w:pPr>
    </w:lvl>
    <w:lvl w:ilvl="7" w:tentative="0">
      <w:start w:val="1"/>
      <w:numFmt w:val="lowerLetter"/>
      <w:lvlText w:val="%8)"/>
      <w:lvlJc w:val="left"/>
      <w:pPr>
        <w:ind w:left="4720" w:hanging="420"/>
      </w:pPr>
    </w:lvl>
    <w:lvl w:ilvl="8" w:tentative="0">
      <w:start w:val="1"/>
      <w:numFmt w:val="lowerRoman"/>
      <w:lvlText w:val="%9."/>
      <w:lvlJc w:val="right"/>
      <w:pPr>
        <w:ind w:left="51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5C9"/>
    <w:rsid w:val="000B4B9B"/>
    <w:rsid w:val="00102F3E"/>
    <w:rsid w:val="00106BE0"/>
    <w:rsid w:val="001A266F"/>
    <w:rsid w:val="001C25C9"/>
    <w:rsid w:val="00317D16"/>
    <w:rsid w:val="00513F81"/>
    <w:rsid w:val="00560780"/>
    <w:rsid w:val="006016A1"/>
    <w:rsid w:val="00655649"/>
    <w:rsid w:val="007C5459"/>
    <w:rsid w:val="007F05E9"/>
    <w:rsid w:val="008829BB"/>
    <w:rsid w:val="00885AB2"/>
    <w:rsid w:val="00894956"/>
    <w:rsid w:val="008B6E5C"/>
    <w:rsid w:val="008D2AD4"/>
    <w:rsid w:val="009632F4"/>
    <w:rsid w:val="009863B6"/>
    <w:rsid w:val="00A16F0E"/>
    <w:rsid w:val="00A5053D"/>
    <w:rsid w:val="00AC2E06"/>
    <w:rsid w:val="00B55C08"/>
    <w:rsid w:val="00B63CFF"/>
    <w:rsid w:val="00BA1FF8"/>
    <w:rsid w:val="00C71CD2"/>
    <w:rsid w:val="00CA6F6C"/>
    <w:rsid w:val="00CB0098"/>
    <w:rsid w:val="00CF1821"/>
    <w:rsid w:val="00D2321D"/>
    <w:rsid w:val="00DD2968"/>
    <w:rsid w:val="00F0768D"/>
    <w:rsid w:val="00F558D4"/>
    <w:rsid w:val="00F834D2"/>
    <w:rsid w:val="00F90AD9"/>
    <w:rsid w:val="00F96D62"/>
    <w:rsid w:val="00FA45A1"/>
    <w:rsid w:val="59CDD854"/>
    <w:rsid w:val="DBFF26AC"/>
    <w:rsid w:val="FDEF5F7E"/>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Calibri" w:hAnsi="Calibri" w:cs="黑体"/>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Calibri" w:hAnsi="Calibri" w:cs="黑体"/>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180</Words>
  <Characters>1029</Characters>
  <Lines>8</Lines>
  <Paragraphs>2</Paragraphs>
  <TotalTime>1194</TotalTime>
  <ScaleCrop>false</ScaleCrop>
  <LinksUpToDate>false</LinksUpToDate>
  <CharactersWithSpaces>1207</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2017-01-16T22:14:00Z</dcterms:created>
  <dc:creator>郜汝敬 </dc:creator>
  <cp:lastModifiedBy>user</cp:lastModifiedBy>
  <cp:lastPrinted>2021-04-26T11:42:00Z</cp:lastPrinted>
  <dcterms:modified xsi:type="dcterms:W3CDTF">2023-10-25T10:29:19Z</dcterms:modified>
  <dc:title>附件4</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