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sz w:val="32"/>
          <w:szCs w:val="32"/>
        </w:rPr>
      </w:pPr>
      <w:r>
        <w:rPr>
          <w:rFonts w:hint="eastAsia" w:ascii="仿宋" w:hAnsi="仿宋" w:eastAsia="仿宋"/>
          <w:sz w:val="32"/>
          <w:szCs w:val="32"/>
        </w:rPr>
        <w:t>附件1</w:t>
      </w:r>
    </w:p>
    <w:p>
      <w:pPr>
        <w:jc w:val="center"/>
        <w:rPr>
          <w:rFonts w:ascii="仿宋" w:hAnsi="仿宋" w:eastAsia="仿宋"/>
          <w:sz w:val="32"/>
          <w:szCs w:val="32"/>
        </w:rPr>
      </w:pPr>
      <w:r>
        <w:rPr>
          <w:rFonts w:hint="eastAsia" w:ascii="仿宋" w:hAnsi="仿宋" w:eastAsia="仿宋"/>
          <w:sz w:val="32"/>
          <w:szCs w:val="32"/>
        </w:rPr>
        <w:t xml:space="preserve"> </w:t>
      </w:r>
    </w:p>
    <w:p>
      <w:pPr>
        <w:rPr>
          <w:rFonts w:ascii="仿宋" w:hAnsi="仿宋" w:eastAsia="仿宋"/>
          <w:b/>
          <w:sz w:val="32"/>
          <w:szCs w:val="32"/>
          <w:u w:val="single"/>
        </w:rPr>
      </w:pPr>
      <w:r>
        <w:rPr>
          <w:rFonts w:hint="eastAsia" w:ascii="仿宋" w:hAnsi="仿宋" w:eastAsia="仿宋"/>
          <w:b/>
          <w:sz w:val="32"/>
          <w:szCs w:val="32"/>
        </w:rPr>
        <w:t>单位预算代码：</w:t>
      </w:r>
      <w:r>
        <w:rPr>
          <w:rFonts w:hint="eastAsia" w:ascii="仿宋" w:hAnsi="仿宋" w:eastAsia="仿宋"/>
          <w:b/>
          <w:sz w:val="32"/>
          <w:szCs w:val="32"/>
          <w:u w:val="single"/>
        </w:rPr>
        <w:t xml:space="preserve">     019           </w:t>
      </w:r>
    </w:p>
    <w:p>
      <w:pPr>
        <w:rPr>
          <w:rFonts w:ascii="仿宋" w:hAnsi="仿宋" w:eastAsia="仿宋"/>
          <w:b/>
          <w:sz w:val="32"/>
          <w:szCs w:val="32"/>
          <w:u w:val="single"/>
        </w:rPr>
      </w:pPr>
      <w:r>
        <w:rPr>
          <w:rFonts w:hint="eastAsia" w:ascii="仿宋" w:hAnsi="仿宋" w:eastAsia="仿宋"/>
          <w:b/>
          <w:sz w:val="32"/>
          <w:szCs w:val="32"/>
        </w:rPr>
        <w:t>单位名称：</w:t>
      </w:r>
      <w:r>
        <w:rPr>
          <w:rFonts w:hint="eastAsia" w:ascii="仿宋" w:hAnsi="仿宋" w:eastAsia="仿宋"/>
          <w:b/>
          <w:sz w:val="32"/>
          <w:szCs w:val="32"/>
          <w:u w:val="single"/>
        </w:rPr>
        <w:t xml:space="preserve">    平顺县应急管理局     </w:t>
      </w:r>
    </w:p>
    <w:p>
      <w:pPr>
        <w:jc w:val="center"/>
        <w:rPr>
          <w:rFonts w:ascii="黑体" w:hAnsi="黑体" w:eastAsia="黑体"/>
          <w:sz w:val="36"/>
          <w:szCs w:val="36"/>
        </w:rPr>
      </w:pPr>
    </w:p>
    <w:p>
      <w:pPr>
        <w:jc w:val="center"/>
        <w:rPr>
          <w:rFonts w:ascii="黑体" w:hAnsi="黑体" w:eastAsia="黑体"/>
          <w:sz w:val="48"/>
          <w:szCs w:val="48"/>
        </w:rPr>
      </w:pPr>
      <w:r>
        <w:rPr>
          <w:rFonts w:hint="eastAsia" w:ascii="黑体" w:hAnsi="黑体" w:eastAsia="黑体"/>
          <w:sz w:val="48"/>
          <w:szCs w:val="48"/>
        </w:rPr>
        <w:t>平顺县2019年度部门决算</w:t>
      </w:r>
    </w:p>
    <w:p>
      <w:pPr>
        <w:jc w:val="center"/>
        <w:rPr>
          <w:rFonts w:ascii="黑体" w:hAnsi="黑体" w:eastAsia="黑体"/>
          <w:sz w:val="48"/>
          <w:szCs w:val="48"/>
        </w:rPr>
      </w:pPr>
      <w:r>
        <w:rPr>
          <w:rFonts w:hint="eastAsia" w:ascii="黑体" w:hAnsi="黑体" w:eastAsia="黑体"/>
          <w:sz w:val="48"/>
          <w:szCs w:val="48"/>
        </w:rPr>
        <w:t>目    录</w:t>
      </w:r>
    </w:p>
    <w:p>
      <w:pPr>
        <w:jc w:val="center"/>
        <w:rPr>
          <w:rFonts w:ascii="仿宋" w:hAnsi="仿宋" w:eastAsia="仿宋"/>
          <w:sz w:val="32"/>
          <w:szCs w:val="32"/>
        </w:rPr>
      </w:pPr>
    </w:p>
    <w:p>
      <w:pPr>
        <w:jc w:val="left"/>
        <w:rPr>
          <w:rFonts w:ascii="黑体" w:hAnsi="黑体" w:eastAsia="黑体"/>
          <w:sz w:val="28"/>
          <w:szCs w:val="28"/>
        </w:rPr>
      </w:pPr>
      <w:r>
        <w:rPr>
          <w:rFonts w:hint="eastAsia" w:ascii="黑体" w:hAnsi="黑体" w:eastAsia="黑体"/>
          <w:sz w:val="28"/>
          <w:szCs w:val="28"/>
        </w:rPr>
        <w:t>第一部分  概况</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一、本部门职责</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二、机构设置情况</w:t>
      </w:r>
    </w:p>
    <w:p>
      <w:pPr>
        <w:jc w:val="left"/>
        <w:rPr>
          <w:rFonts w:ascii="黑体" w:hAnsi="黑体" w:eastAsia="黑体"/>
          <w:sz w:val="28"/>
          <w:szCs w:val="28"/>
        </w:rPr>
      </w:pPr>
      <w:r>
        <w:rPr>
          <w:rFonts w:hint="eastAsia" w:ascii="黑体" w:hAnsi="黑体" w:eastAsia="黑体"/>
          <w:sz w:val="28"/>
          <w:szCs w:val="28"/>
        </w:rPr>
        <w:t>第二部分  2019年度部门决算报表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一、Z01表2019年决算收支总表</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二、Z03表2019年决算收入总表</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三、Z04表2019年决算支出总表</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四、Z01-1表2019年财政拨款收支总表</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五、Z07表2019年一般公共预算收入支出决算表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六、Z08表2019年一般公共决算支出明细表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七、Z08-1表2019年一般公共决算安排基本支出明细表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八、Z08-1表2019年一般公共决算安排项目支出明细表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九、Z09表2019年政府性基金预算财政拨款收入支出决算表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十、Z10表2019年政府性基金预算财政拨款支出决算明细表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十一、Z10-1表2019年政府性基金预算财政拨款基本支出决算明细表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十二、Z10-2表2019年政府性基金预算财政拨款项目支出决算明细表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十三、F03表2019年机构运行信息表</w:t>
      </w:r>
    </w:p>
    <w:p>
      <w:pPr>
        <w:jc w:val="left"/>
        <w:rPr>
          <w:rFonts w:ascii="黑体" w:hAnsi="黑体" w:eastAsia="黑体"/>
          <w:sz w:val="28"/>
          <w:szCs w:val="28"/>
        </w:rPr>
      </w:pPr>
      <w:r>
        <w:rPr>
          <w:rFonts w:hint="eastAsia" w:ascii="黑体" w:hAnsi="黑体" w:eastAsia="黑体"/>
          <w:sz w:val="28"/>
          <w:szCs w:val="28"/>
        </w:rPr>
        <w:t>第三部分  2019年度部门决算情况说明</w:t>
      </w:r>
    </w:p>
    <w:p>
      <w:pPr>
        <w:ind w:firstLine="636"/>
        <w:jc w:val="left"/>
        <w:rPr>
          <w:rFonts w:ascii="仿宋_GB2312" w:hAnsi="楷体" w:eastAsia="仿宋_GB2312"/>
          <w:sz w:val="28"/>
          <w:szCs w:val="28"/>
        </w:rPr>
      </w:pPr>
      <w:r>
        <w:rPr>
          <w:rFonts w:hint="eastAsia" w:ascii="仿宋_GB2312" w:hAnsi="楷体" w:eastAsia="仿宋_GB2312"/>
          <w:sz w:val="28"/>
          <w:szCs w:val="28"/>
        </w:rPr>
        <w:t>一、2019年度部门决算数据变动情况及原因</w:t>
      </w:r>
    </w:p>
    <w:p>
      <w:pPr>
        <w:ind w:firstLine="636"/>
        <w:jc w:val="left"/>
        <w:rPr>
          <w:rFonts w:ascii="仿宋_GB2312" w:hAnsi="楷体" w:eastAsia="仿宋_GB2312"/>
          <w:sz w:val="28"/>
          <w:szCs w:val="28"/>
        </w:rPr>
      </w:pPr>
      <w:r>
        <w:rPr>
          <w:rFonts w:hint="eastAsia" w:ascii="仿宋_GB2312" w:hAnsi="楷体" w:eastAsia="仿宋_GB2312"/>
          <w:sz w:val="28"/>
          <w:szCs w:val="28"/>
        </w:rPr>
        <w:t>二、“三公”经费增减变动原因说明</w:t>
      </w:r>
    </w:p>
    <w:p>
      <w:pPr>
        <w:ind w:firstLine="636"/>
        <w:jc w:val="left"/>
        <w:rPr>
          <w:rFonts w:ascii="仿宋_GB2312" w:hAnsi="楷体" w:eastAsia="仿宋_GB2312"/>
          <w:sz w:val="28"/>
          <w:szCs w:val="28"/>
        </w:rPr>
      </w:pPr>
      <w:r>
        <w:rPr>
          <w:rFonts w:hint="eastAsia" w:ascii="仿宋_GB2312" w:hAnsi="楷体" w:eastAsia="仿宋_GB2312"/>
          <w:sz w:val="28"/>
          <w:szCs w:val="28"/>
        </w:rPr>
        <w:t>三、机关运行经费增减变动原因说明</w:t>
      </w:r>
    </w:p>
    <w:p>
      <w:pPr>
        <w:ind w:firstLine="636"/>
        <w:jc w:val="left"/>
        <w:rPr>
          <w:rFonts w:ascii="仿宋_GB2312" w:hAnsi="楷体" w:eastAsia="仿宋_GB2312"/>
          <w:sz w:val="28"/>
          <w:szCs w:val="28"/>
        </w:rPr>
      </w:pPr>
      <w:r>
        <w:rPr>
          <w:rFonts w:hint="eastAsia" w:ascii="仿宋_GB2312" w:hAnsi="楷体" w:eastAsia="仿宋_GB2312"/>
          <w:sz w:val="28"/>
          <w:szCs w:val="28"/>
        </w:rPr>
        <w:t>四、政府采购</w:t>
      </w:r>
      <w:bookmarkStart w:id="0" w:name="_GoBack"/>
      <w:bookmarkEnd w:id="0"/>
      <w:r>
        <w:rPr>
          <w:rFonts w:hint="eastAsia" w:ascii="仿宋_GB2312" w:hAnsi="楷体" w:eastAsia="仿宋_GB2312"/>
          <w:sz w:val="28"/>
          <w:szCs w:val="28"/>
        </w:rPr>
        <w:t>情况</w:t>
      </w:r>
    </w:p>
    <w:p>
      <w:pPr>
        <w:ind w:firstLine="636"/>
        <w:jc w:val="left"/>
        <w:rPr>
          <w:rFonts w:ascii="仿宋_GB2312" w:hAnsi="楷体" w:eastAsia="仿宋_GB2312"/>
          <w:sz w:val="28"/>
          <w:szCs w:val="28"/>
        </w:rPr>
      </w:pPr>
      <w:r>
        <w:rPr>
          <w:rFonts w:hint="eastAsia" w:ascii="仿宋_GB2312" w:hAnsi="楷体" w:eastAsia="仿宋_GB2312"/>
          <w:sz w:val="28"/>
          <w:szCs w:val="28"/>
        </w:rPr>
        <w:t>五、绩效管理情况</w:t>
      </w:r>
    </w:p>
    <w:p>
      <w:pPr>
        <w:ind w:firstLine="636"/>
        <w:jc w:val="left"/>
        <w:rPr>
          <w:rFonts w:ascii="仿宋_GB2312" w:hAnsi="楷体" w:eastAsia="仿宋_GB2312"/>
          <w:sz w:val="28"/>
          <w:szCs w:val="28"/>
        </w:rPr>
      </w:pPr>
      <w:r>
        <w:rPr>
          <w:rFonts w:hint="eastAsia" w:ascii="仿宋_GB2312" w:hAnsi="楷体" w:eastAsia="仿宋_GB2312"/>
          <w:sz w:val="28"/>
          <w:szCs w:val="28"/>
        </w:rPr>
        <w:t>六、国有资产占有使用情况</w:t>
      </w:r>
    </w:p>
    <w:p>
      <w:pPr>
        <w:ind w:firstLine="636"/>
        <w:jc w:val="left"/>
        <w:rPr>
          <w:rFonts w:ascii="仿宋_GB2312" w:hAnsi="楷体" w:eastAsia="仿宋_GB2312"/>
          <w:sz w:val="28"/>
          <w:szCs w:val="28"/>
        </w:rPr>
      </w:pPr>
      <w:r>
        <w:rPr>
          <w:rFonts w:hint="eastAsia" w:ascii="仿宋_GB2312" w:hAnsi="楷体" w:eastAsia="仿宋_GB2312"/>
          <w:sz w:val="28"/>
          <w:szCs w:val="28"/>
        </w:rPr>
        <w:t>七、其他说明</w:t>
      </w:r>
    </w:p>
    <w:p>
      <w:pPr>
        <w:ind w:firstLine="636"/>
        <w:jc w:val="left"/>
        <w:rPr>
          <w:rFonts w:ascii="仿宋_GB2312" w:hAnsi="仿宋" w:eastAsia="仿宋_GB2312"/>
          <w:sz w:val="28"/>
          <w:szCs w:val="28"/>
        </w:rPr>
      </w:pPr>
      <w:r>
        <w:rPr>
          <w:rFonts w:hint="eastAsia" w:ascii="仿宋_GB2312" w:hAnsi="仿宋" w:eastAsia="仿宋_GB2312"/>
          <w:sz w:val="28"/>
          <w:szCs w:val="28"/>
        </w:rPr>
        <w:t>（一）政府购买服务情况说明</w:t>
      </w:r>
    </w:p>
    <w:p>
      <w:pPr>
        <w:ind w:firstLine="636"/>
        <w:jc w:val="left"/>
        <w:rPr>
          <w:rFonts w:ascii="仿宋_GB2312" w:hAnsi="仿宋" w:eastAsia="仿宋_GB2312"/>
          <w:sz w:val="28"/>
          <w:szCs w:val="28"/>
        </w:rPr>
      </w:pPr>
      <w:r>
        <w:rPr>
          <w:rFonts w:hint="eastAsia" w:ascii="仿宋_GB2312" w:hAnsi="仿宋" w:eastAsia="仿宋_GB2312"/>
          <w:sz w:val="28"/>
          <w:szCs w:val="28"/>
        </w:rPr>
        <w:t>（二） 其他</w:t>
      </w:r>
    </w:p>
    <w:p>
      <w:pPr>
        <w:jc w:val="left"/>
        <w:rPr>
          <w:rFonts w:ascii="黑体" w:hAnsi="黑体" w:eastAsia="黑体"/>
          <w:sz w:val="28"/>
          <w:szCs w:val="28"/>
        </w:rPr>
      </w:pPr>
      <w:r>
        <w:rPr>
          <w:rFonts w:hint="eastAsia" w:ascii="黑体" w:hAnsi="黑体" w:eastAsia="黑体"/>
          <w:sz w:val="28"/>
          <w:szCs w:val="28"/>
        </w:rPr>
        <w:t>第四部分  名词解释</w:t>
      </w:r>
    </w:p>
    <w:p>
      <w:pPr>
        <w:widowControl/>
        <w:jc w:val="left"/>
        <w:rPr>
          <w:rFonts w:ascii="仿宋" w:hAnsi="仿宋" w:eastAsia="仿宋"/>
          <w:sz w:val="32"/>
          <w:szCs w:val="32"/>
        </w:rPr>
      </w:pPr>
      <w:r>
        <w:rPr>
          <w:rFonts w:ascii="仿宋" w:hAnsi="仿宋" w:eastAsia="仿宋"/>
          <w:sz w:val="28"/>
          <w:szCs w:val="28"/>
        </w:rPr>
        <w:br w:type="page"/>
      </w:r>
    </w:p>
    <w:p>
      <w:pPr>
        <w:ind w:firstLine="161" w:firstLineChars="50"/>
        <w:jc w:val="center"/>
        <w:rPr>
          <w:rFonts w:ascii="黑体" w:hAnsi="黑体" w:eastAsia="黑体"/>
          <w:b/>
          <w:sz w:val="32"/>
          <w:szCs w:val="32"/>
        </w:rPr>
      </w:pPr>
      <w:r>
        <w:rPr>
          <w:rFonts w:hint="eastAsia" w:ascii="黑体" w:hAnsi="黑体" w:eastAsia="黑体"/>
          <w:b/>
          <w:sz w:val="32"/>
          <w:szCs w:val="32"/>
        </w:rPr>
        <w:t>第一部分  概     况</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一、本部门职责</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（一）负责应急管理工作，指导全县各部门应对安全生产类、自然灾害类等突发事件和综合防灾减灾救灾工作。负责安全生产综合监督管理和工矿商贸行业安全生产监督管理工作。</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（二）贯彻执行应急管理、安全生产等方针政策和法律法规，组织编制应急体系建设、安全生产和综合防灾减灾规划并监督实施。</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三）指导应急预案体系建设，建立完善事故灾难和自然灾害分级应对制度，组织编制县级总体应急预案和安全生产类、自然灾害类专项预案，综合协调应急预案衔接工作，组织开展预案演练，推动应急避难设施建设。</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（四）牵头建立统一的应急管理信息系统，负责信息传输渠道的规划和布局，建立监测预警和灾情报告制度，健全自然灾害信息资源获取和共享机制，依法统一发布灾情。</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五）组织指导协调安全生产类、自然灾害类等突发事件应急救援，承担平顺县应对重大灾害指挥部工作，综合研判突发事件发展态势并提出应对建议，协助县委、县人民政府指定的负责同志组织重大灾害应急处置工作。</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（六）统一协调指挥各类应急专业队伍，建立应急协调联动机制，推进指挥平合对接，衔接驻地武警部队参与应急救援工作。</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（七）统筹消防、森林和草原火灾扑救、抗洪抢险、地震和地质灾害救援、生产安全事故救援等专业应急救援力量建设，管理县级应急救援队伍，指导各乡（镇）及社会应急救援力量建设。</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（八）组织指导消防监督、火灾预防、火灾扑救等工作。</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（九）指导协调森林和草原火灾、水旱灾害、地震和地质灾害等防治工作，负责自然灾害综合监测预警工作，指导开展自然灾害综合风险评估工作。</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（十）组织协调灾害救助工作，组织指导灾情核查、损失评估、救灾捐赠工作，管理、分配中央划拨和省级、市级、县级救灾款物并监督使用。</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（十一）依法行使安全生产综合监督管理职权，指导协调、监督检查县有关部门、单位和各乡（镇）人民政府安全生产工作，组织开展安全生产巡查、考核工作。</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十二）按照分级、属地原则，负责监督管理工矿商贸行业企业安全生产工作，依法监督检查工矿商贸生产经营单位贯彻执行安全生产法律法规情况及其安全生产条件和有关设备（特种设备除外）、材料、劳动防护用品的安全生产管理工作。负责全县危险化学品安全监督管理综合工作和烟花爆竹安全生产监督管理工作。依法组织并指导监督实施安全生产准入制度。</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（十三）依法组织指导生产安全事故调查处理，监督事故查处和责任追究落实情况。组织开展自然灾害类突发事件的调查评估工作。</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（十四）组织参与安全生产类、自然灾害类等突发事件的救援工作和省、市、县之间应急救援合作。</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（十五）制定应急物资储备和应急救援装备规划并组织实施，会同县发展和改革局（县粮食局）等部门建立健全全县应急物资信息平台和调拨制度，在救灾时统一调度。</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（十六）负责应急管理、安全生产宣传教育和培训工作，组织指导应急管理、安全生产的科学技术研究、推广应用和信息化建设工作。</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（十七）完成县委、县人民政府交办的其他任务。</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十八）职能转变。县应急管理局应加强、优化、统筹全县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生产责任，坚决遏制重特大安全事故。</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二、机构设置情况</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 xml:space="preserve"> 局本级现有编制34名，其中：行政编制8名，事业编制23名，自收自支3名。现实有在编在岗人员25名，其中行政5名，全额事业18名，自收自支2名。退休人员3名。局下设股室为综合办公室、综合协调股、矿山监管股、综合监管股、应急指挥股、救援管理股;下属事业单位为应急救援指挥中心、安全监管执法大队、消防应急服务中心、龙溪镇安监站、杏城镇安监站、东寺头乡安监站、安全技术培训中心（自收自支）。变动原因：机构改革职能增加。</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 xml:space="preserve">平顺县消防救援大队，2019年转制为应急管理部消防救援局下属单位。目前，大队有指挥员（大队干部）3名，消防员（市消防支队选派代理专职中队长）2名，指挥员及消防员编制、工资及保险等由市级消防支队后勤部门负责。专职消防队员、文员年初为25人，年末为18名，有7人陆续离职。 </w:t>
      </w: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平顺县防震减灾中心设3个内设机构，分别为办公室、业务股和防震减灾中心</w:t>
      </w:r>
    </w:p>
    <w:tbl>
      <w:tblPr>
        <w:tblStyle w:val="4"/>
        <w:tblW w:w="801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801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平顺县应急管理局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801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平顺县应急管理局(本级)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801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平顺县消防救援大队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801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平顺县地震局</w:t>
            </w:r>
          </w:p>
        </w:tc>
      </w:tr>
    </w:tbl>
    <w:p>
      <w:pPr>
        <w:widowControl/>
        <w:spacing w:line="520" w:lineRule="exact"/>
        <w:ind w:firstLine="482"/>
        <w:rPr>
          <w:rFonts w:ascii="仿宋_GB2312" w:eastAsia="仿宋_GB2312" w:cs="宋体"/>
          <w:sz w:val="32"/>
          <w:szCs w:val="32"/>
        </w:rPr>
      </w:pPr>
    </w:p>
    <w:p>
      <w:pPr>
        <w:widowControl/>
        <w:spacing w:line="520" w:lineRule="exact"/>
        <w:ind w:firstLine="482"/>
        <w:rPr>
          <w:rFonts w:ascii="仿宋_GB2312" w:eastAsia="仿宋_GB2312" w:cs="宋体"/>
          <w:sz w:val="32"/>
          <w:szCs w:val="32"/>
        </w:rPr>
      </w:pPr>
      <w:r>
        <w:rPr>
          <w:rFonts w:hint="eastAsia" w:ascii="仿宋_GB2312" w:eastAsia="仿宋_GB2312" w:cs="宋体"/>
          <w:sz w:val="32"/>
          <w:szCs w:val="32"/>
        </w:rPr>
        <w:t>人员构成：编制6人，在岗在职7人，其中正科1人，副科1人。</w:t>
      </w:r>
    </w:p>
    <w:p>
      <w:pPr>
        <w:widowControl/>
        <w:spacing w:line="520" w:lineRule="exact"/>
        <w:rPr>
          <w:rFonts w:ascii="仿宋_GB2312" w:eastAsia="仿宋_GB2312" w:cs="宋体"/>
          <w:sz w:val="32"/>
          <w:szCs w:val="32"/>
        </w:rPr>
      </w:pPr>
    </w:p>
    <w:p>
      <w:pPr>
        <w:jc w:val="center"/>
        <w:rPr>
          <w:rFonts w:ascii="黑体" w:hAnsi="黑体" w:eastAsia="黑体"/>
          <w:b/>
          <w:sz w:val="28"/>
          <w:szCs w:val="28"/>
        </w:rPr>
      </w:pPr>
      <w:r>
        <w:rPr>
          <w:rFonts w:hint="eastAsia" w:ascii="黑体" w:hAnsi="黑体" w:eastAsia="黑体"/>
          <w:b/>
          <w:sz w:val="28"/>
          <w:szCs w:val="28"/>
        </w:rPr>
        <w:t>第二部分  2019年度部门决算报表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一、Z01表2019年决算收支总表</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二、Z03表2019年决算收入总表</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三、Z04表2019年决算支出总表</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四、Z01-1表2019年财政拨款收支总表</w:t>
      </w:r>
    </w:p>
    <w:p>
      <w:pPr>
        <w:ind w:left="1338" w:leftChars="304" w:hanging="700" w:hangingChars="250"/>
        <w:jc w:val="left"/>
        <w:rPr>
          <w:rFonts w:ascii="仿宋_GB2312" w:hAnsi="楷体" w:eastAsia="仿宋_GB2312"/>
          <w:sz w:val="28"/>
          <w:szCs w:val="28"/>
        </w:rPr>
      </w:pPr>
      <w:r>
        <w:rPr>
          <w:rFonts w:hint="eastAsia" w:ascii="仿宋_GB2312" w:hAnsi="楷体" w:eastAsia="仿宋_GB2312"/>
          <w:sz w:val="28"/>
          <w:szCs w:val="28"/>
        </w:rPr>
        <w:t>五、Z07表2019年一般公共预算收入支出决算表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六、Z08表2019年一般公共决算支出明细表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七、Z08-1表2019年一般公共决算安排基本支出明细表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八、Z08-1表2019年一般公共决算安排项目支出明细表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九、Z09表2019年政府性基金预算财政拨款收入支出决算表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十、Z10表2019年政府性基金预算财政拨款支出决算明细表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十一、Z10-1表2019年政府性基金预算财政拨款基本支出决算明细表</w:t>
      </w:r>
    </w:p>
    <w:p>
      <w:pPr>
        <w:ind w:firstLine="560" w:firstLineChars="200"/>
        <w:jc w:val="left"/>
        <w:rPr>
          <w:rFonts w:ascii="仿宋_GB2312" w:hAnsi="楷体" w:eastAsia="仿宋_GB2312"/>
          <w:sz w:val="28"/>
          <w:szCs w:val="28"/>
        </w:rPr>
      </w:pPr>
      <w:r>
        <w:rPr>
          <w:rFonts w:hint="eastAsia" w:ascii="仿宋_GB2312" w:hAnsi="楷体" w:eastAsia="仿宋_GB2312"/>
          <w:sz w:val="28"/>
          <w:szCs w:val="28"/>
        </w:rPr>
        <w:t>十二、Z10-2表2019年政府性基金预算财政拨款项目支出决算明细表</w:t>
      </w:r>
    </w:p>
    <w:p>
      <w:pPr>
        <w:ind w:firstLine="560" w:firstLineChars="200"/>
        <w:jc w:val="left"/>
        <w:rPr>
          <w:rFonts w:ascii="黑体" w:hAnsi="黑体" w:eastAsia="黑体"/>
          <w:sz w:val="32"/>
          <w:szCs w:val="32"/>
        </w:rPr>
      </w:pPr>
      <w:r>
        <w:rPr>
          <w:rFonts w:hint="eastAsia" w:ascii="仿宋_GB2312" w:hAnsi="楷体" w:eastAsia="仿宋_GB2312"/>
          <w:sz w:val="28"/>
          <w:szCs w:val="28"/>
        </w:rPr>
        <w:t>十三、F03表2019年机构运行信息表</w:t>
      </w:r>
    </w:p>
    <w:p>
      <w:pPr>
        <w:jc w:val="center"/>
        <w:rPr>
          <w:rFonts w:ascii="黑体" w:hAnsi="黑体" w:eastAsia="黑体"/>
          <w:sz w:val="32"/>
          <w:szCs w:val="32"/>
        </w:rPr>
      </w:pPr>
      <w:r>
        <w:rPr>
          <w:rFonts w:hint="eastAsia" w:ascii="黑体" w:hAnsi="黑体" w:eastAsia="黑体"/>
          <w:sz w:val="32"/>
          <w:szCs w:val="32"/>
        </w:rPr>
        <w:t>第三部分  2019年度部门决算情况说明</w:t>
      </w:r>
    </w:p>
    <w:p>
      <w:pPr>
        <w:ind w:firstLine="636"/>
        <w:rPr>
          <w:rFonts w:ascii="仿宋_GB2312" w:hAnsi="楷体" w:eastAsia="仿宋_GB2312"/>
          <w:b/>
          <w:sz w:val="32"/>
          <w:szCs w:val="32"/>
        </w:rPr>
      </w:pPr>
      <w:r>
        <w:rPr>
          <w:rFonts w:hint="eastAsia" w:ascii="仿宋_GB2312" w:hAnsi="楷体" w:eastAsia="仿宋_GB2312"/>
          <w:b/>
          <w:sz w:val="32"/>
          <w:szCs w:val="32"/>
        </w:rPr>
        <w:t>一、2019年度部门决算数据变动情况及原因（参照决算CS02表）</w:t>
      </w:r>
    </w:p>
    <w:p>
      <w:pPr>
        <w:spacing w:line="580" w:lineRule="exact"/>
        <w:ind w:firstLine="643"/>
        <w:rPr>
          <w:rFonts w:ascii="仿宋_GB2312" w:hAnsi="楷体" w:eastAsia="仿宋_GB2312"/>
          <w:b/>
          <w:sz w:val="32"/>
          <w:szCs w:val="32"/>
        </w:rPr>
      </w:pPr>
      <w:r>
        <w:rPr>
          <w:rFonts w:hint="eastAsia" w:ascii="仿宋_GB2312" w:hAnsi="楷体" w:eastAsia="仿宋_GB2312"/>
          <w:sz w:val="32"/>
          <w:szCs w:val="32"/>
        </w:rPr>
        <w:t>部门应说明决算收支安排情况、</w:t>
      </w:r>
      <w:r>
        <w:rPr>
          <w:rFonts w:hint="eastAsia" w:ascii="仿宋_GB2312" w:hAnsi="楷体" w:eastAsia="仿宋_GB2312"/>
          <w:b/>
          <w:sz w:val="32"/>
          <w:szCs w:val="32"/>
        </w:rPr>
        <w:t>较上年比较（与上年年初决算比较）的变动情况及变动原因。</w:t>
      </w:r>
    </w:p>
    <w:p>
      <w:pPr>
        <w:pStyle w:val="6"/>
        <w:spacing w:line="360" w:lineRule="auto"/>
        <w:ind w:firstLine="640"/>
        <w:jc w:val="both"/>
        <w:rPr>
          <w:rFonts w:ascii="仿宋_GB2312" w:hAnsi="仿宋"/>
          <w:sz w:val="32"/>
          <w:szCs w:val="32"/>
        </w:rPr>
      </w:pPr>
      <w:r>
        <w:rPr>
          <w:rFonts w:hint="eastAsia" w:ascii="仿宋_GB2312" w:hAnsi="仿宋"/>
          <w:sz w:val="32"/>
          <w:szCs w:val="32"/>
        </w:rPr>
        <w:t>1、收入变动情况</w:t>
      </w:r>
    </w:p>
    <w:p>
      <w:pPr>
        <w:pStyle w:val="6"/>
        <w:spacing w:line="360" w:lineRule="auto"/>
        <w:ind w:firstLine="640"/>
        <w:jc w:val="both"/>
        <w:rPr>
          <w:rFonts w:ascii="仿宋_GB2312" w:hAnsi="仿宋"/>
          <w:sz w:val="32"/>
          <w:szCs w:val="32"/>
        </w:rPr>
      </w:pPr>
      <w:r>
        <w:rPr>
          <w:rFonts w:hint="eastAsia" w:ascii="仿宋_GB2312" w:hAnsi="仿宋"/>
          <w:sz w:val="32"/>
          <w:szCs w:val="32"/>
        </w:rPr>
        <w:t>我单位收入总计16078016.89元，其中为一般公共预算财政拨款收入11738854.90元；政府性基金预算财政拨款收入0元；事业收入为0元；上级补助收入为0元；其他收入为4339161.99元。</w:t>
      </w:r>
    </w:p>
    <w:p>
      <w:pPr>
        <w:pStyle w:val="6"/>
        <w:spacing w:line="360" w:lineRule="auto"/>
        <w:ind w:firstLine="640"/>
        <w:jc w:val="both"/>
        <w:rPr>
          <w:rFonts w:ascii="仿宋" w:hAnsi="仿宋" w:eastAsia="仿宋" w:cs="仿宋"/>
          <w:sz w:val="32"/>
          <w:szCs w:val="32"/>
        </w:rPr>
      </w:pPr>
      <w:r>
        <w:rPr>
          <w:rFonts w:hint="eastAsia" w:ascii="仿宋_GB2312" w:hAnsi="仿宋"/>
          <w:sz w:val="32"/>
          <w:szCs w:val="32"/>
        </w:rPr>
        <w:t>与上年度比较，收入总额比上年增加7540877.68元，其中一般公共预算财政拨款收入比上年增加8869515.69元、比上年增加88.33原因为机构改革增加了防灾减灾职能，中央、省、市</w:t>
      </w:r>
      <w:r>
        <w:rPr>
          <w:rFonts w:hint="eastAsia" w:ascii="仿宋_GB2312" w:hAnsi="仿宋"/>
          <w:sz w:val="32"/>
          <w:szCs w:val="32"/>
          <w:lang w:eastAsia="zh-CN"/>
        </w:rPr>
        <w:t>下拨</w:t>
      </w:r>
      <w:r>
        <w:rPr>
          <w:rFonts w:hint="eastAsia" w:ascii="仿宋_GB2312" w:hAnsi="仿宋"/>
          <w:sz w:val="32"/>
          <w:szCs w:val="32"/>
        </w:rPr>
        <w:t>的自然灾害救助款；政府性基金预算财政拨款收入比上年（增加/减少）0元、比上年（增加/减少）原因**；事业收入为比上年（增加/减少）0元、比上年（增加/减少）原因**；上级补助收入比上年（增加/减少）0元、比上年（增加/减少）原因**；其他收入比上年减少1328638.01元；</w:t>
      </w:r>
      <w:r>
        <w:rPr>
          <w:rFonts w:hint="eastAsia" w:ascii="仿宋" w:hAnsi="仿宋" w:eastAsia="仿宋" w:cs="仿宋"/>
          <w:sz w:val="32"/>
          <w:szCs w:val="32"/>
        </w:rPr>
        <w:t>。</w:t>
      </w:r>
      <w:r>
        <w:rPr>
          <w:rFonts w:hint="eastAsia" w:ascii="仿宋_GB2312" w:hAnsi="仿宋"/>
          <w:sz w:val="32"/>
          <w:szCs w:val="32"/>
        </w:rPr>
        <w:t>比上年减少23.44％原因上</w:t>
      </w:r>
      <w:r>
        <w:rPr>
          <w:rFonts w:hint="eastAsia" w:ascii="仿宋" w:hAnsi="仿宋" w:eastAsia="仿宋" w:cs="仿宋"/>
          <w:sz w:val="32"/>
          <w:szCs w:val="32"/>
        </w:rPr>
        <w:t>级下达的债券资金共计1000万元，按照工程进度分期</w:t>
      </w:r>
      <w:r>
        <w:rPr>
          <w:rFonts w:hint="eastAsia" w:ascii="仿宋" w:hAnsi="仿宋" w:eastAsia="仿宋" w:cs="仿宋"/>
          <w:sz w:val="32"/>
          <w:szCs w:val="32"/>
          <w:lang w:eastAsia="zh-CN"/>
        </w:rPr>
        <w:t>拨付</w:t>
      </w:r>
      <w:r>
        <w:rPr>
          <w:rFonts w:hint="eastAsia" w:ascii="仿宋" w:hAnsi="仿宋" w:eastAsia="仿宋" w:cs="仿宋"/>
          <w:sz w:val="32"/>
          <w:szCs w:val="32"/>
        </w:rPr>
        <w:t>。</w:t>
      </w:r>
    </w:p>
    <w:p>
      <w:pPr>
        <w:pStyle w:val="7"/>
        <w:ind w:firstLine="640"/>
        <w:jc w:val="both"/>
        <w:rPr>
          <w:rFonts w:ascii="仿宋_GB2312" w:hAnsi="仿宋"/>
          <w:sz w:val="32"/>
          <w:szCs w:val="32"/>
        </w:rPr>
      </w:pPr>
      <w:r>
        <w:rPr>
          <w:rFonts w:hint="eastAsia" w:ascii="仿宋_GB2312" w:hAnsi="仿宋"/>
          <w:sz w:val="32"/>
          <w:szCs w:val="32"/>
        </w:rPr>
        <w:t>2、支出变动情况</w:t>
      </w:r>
    </w:p>
    <w:p>
      <w:pPr>
        <w:pStyle w:val="7"/>
        <w:ind w:left="105" w:leftChars="50" w:firstLine="640"/>
        <w:jc w:val="both"/>
        <w:rPr>
          <w:rFonts w:ascii="仿宋_GB2312" w:hAnsi="仿宋"/>
          <w:sz w:val="32"/>
          <w:szCs w:val="32"/>
        </w:rPr>
      </w:pPr>
      <w:r>
        <w:rPr>
          <w:rFonts w:hint="eastAsia" w:ascii="仿宋_GB2312" w:hAnsi="仿宋"/>
          <w:sz w:val="32"/>
          <w:szCs w:val="32"/>
        </w:rPr>
        <w:t>我单位支出总计10786501.69元，其中人员经费（包括工资福利支出和对个人和家庭支出）支出为3023969.97元，商品和服务支出支出为1299535.22元，资本性支出（包括基本建设支出和非基本建设支出）为6462996.50元。</w:t>
      </w:r>
    </w:p>
    <w:p>
      <w:pPr>
        <w:pStyle w:val="6"/>
        <w:spacing w:line="360" w:lineRule="auto"/>
        <w:ind w:firstLine="640"/>
        <w:jc w:val="both"/>
        <w:rPr>
          <w:rFonts w:ascii="仿宋_GB2312" w:hAnsi="仿宋"/>
          <w:sz w:val="32"/>
          <w:szCs w:val="32"/>
        </w:rPr>
      </w:pPr>
      <w:r>
        <w:rPr>
          <w:rFonts w:hint="eastAsia" w:ascii="仿宋_GB2312" w:hAnsi="仿宋"/>
          <w:sz w:val="32"/>
          <w:szCs w:val="32"/>
        </w:rPr>
        <w:t>与上年度比较，支出总增加3133678.82元，其中其中人员经费（包括工资福利支出和对个人和家庭支出）支出比上年增加617358.80元，比上年增加原因为对受灾群众的灾物资救助；商品和服务支出支出比上年减少726008.52元，比上年减少原因为上年尾矿库治理费用支出在委托业务费 ；资本性支出（包括基本建设支出和非基本建设支出）比上年增加1790311.50元，比上年增加原因为尾矿库治理费用支出。</w:t>
      </w:r>
    </w:p>
    <w:p>
      <w:pPr>
        <w:ind w:firstLine="636"/>
        <w:rPr>
          <w:rFonts w:ascii="仿宋_GB2312" w:hAnsi="楷体" w:eastAsia="仿宋_GB2312"/>
          <w:b/>
          <w:sz w:val="32"/>
          <w:szCs w:val="32"/>
        </w:rPr>
      </w:pPr>
      <w:r>
        <w:rPr>
          <w:rFonts w:hint="eastAsia" w:ascii="仿宋_GB2312" w:hAnsi="楷体" w:eastAsia="仿宋_GB2312"/>
          <w:b/>
          <w:sz w:val="32"/>
          <w:szCs w:val="32"/>
        </w:rPr>
        <w:t>二、“三公”经费增减变动原因说明（参照决算CS02表）</w:t>
      </w:r>
    </w:p>
    <w:p>
      <w:pPr>
        <w:rPr>
          <w:rFonts w:ascii="宋体" w:hAnsi="宋体" w:cs="Arial"/>
          <w:color w:val="000000"/>
          <w:kern w:val="0"/>
          <w:sz w:val="28"/>
          <w:szCs w:val="28"/>
        </w:rPr>
      </w:pPr>
      <w:r>
        <w:rPr>
          <w:rFonts w:hint="eastAsia" w:ascii="仿宋_GB2312" w:eastAsia="仿宋_GB2312"/>
          <w:sz w:val="32"/>
          <w:szCs w:val="32"/>
        </w:rPr>
        <w:t>2019年一般公共预算安排的“三公”经费支出</w:t>
      </w:r>
      <w:r>
        <w:rPr>
          <w:rFonts w:hint="eastAsia" w:ascii="仿宋_GB2312" w:hAnsi="仿宋" w:eastAsia="仿宋_GB2312"/>
          <w:sz w:val="32"/>
          <w:szCs w:val="32"/>
        </w:rPr>
        <w:t>51293.53</w:t>
      </w:r>
      <w:r>
        <w:rPr>
          <w:rFonts w:hint="eastAsia" w:ascii="仿宋_GB2312" w:eastAsia="仿宋_GB2312"/>
          <w:sz w:val="32"/>
          <w:szCs w:val="32"/>
        </w:rPr>
        <w:t>元，比2018年增加2028.23元，原因是</w:t>
      </w:r>
      <w:r>
        <w:rPr>
          <w:rFonts w:hint="eastAsia" w:ascii="仿宋_GB2312" w:eastAsia="仿宋_GB2312" w:cs="宋体"/>
          <w:sz w:val="32"/>
          <w:szCs w:val="32"/>
        </w:rPr>
        <w:t>机构改革职能增加，上级安全生产、防灾减灾、防汛抗旱、防火督查检查次数的增加，公务用车运行费增加</w:t>
      </w:r>
      <w:r>
        <w:rPr>
          <w:rFonts w:hint="eastAsia" w:ascii="仿宋_GB2312" w:eastAsia="仿宋_GB2312"/>
          <w:sz w:val="32"/>
          <w:szCs w:val="32"/>
        </w:rPr>
        <w:t>。其中：因公出国（境）费用</w:t>
      </w:r>
      <w:r>
        <w:rPr>
          <w:rFonts w:hint="eastAsia" w:ascii="仿宋_GB2312" w:hAnsi="仿宋" w:eastAsia="仿宋_GB2312"/>
          <w:sz w:val="32"/>
          <w:szCs w:val="32"/>
        </w:rPr>
        <w:t>0</w:t>
      </w:r>
      <w:r>
        <w:rPr>
          <w:rFonts w:hint="eastAsia" w:ascii="仿宋_GB2312" w:eastAsia="仿宋_GB2312"/>
          <w:sz w:val="32"/>
          <w:szCs w:val="32"/>
        </w:rPr>
        <w:t>元，比上年减少（增加）</w:t>
      </w:r>
      <w:r>
        <w:rPr>
          <w:rFonts w:hint="eastAsia" w:ascii="仿宋_GB2312" w:hAnsi="仿宋" w:eastAsia="仿宋_GB2312"/>
          <w:sz w:val="32"/>
          <w:szCs w:val="32"/>
        </w:rPr>
        <w:t>0</w:t>
      </w:r>
      <w:r>
        <w:rPr>
          <w:rFonts w:hint="eastAsia" w:ascii="仿宋_GB2312" w:eastAsia="仿宋_GB2312"/>
          <w:sz w:val="32"/>
          <w:szCs w:val="32"/>
        </w:rPr>
        <w:t>元；公务接待费9850元：接待批次23，人次122，比上年减少300元，公务用车运行维护费</w:t>
      </w:r>
      <w:r>
        <w:rPr>
          <w:rFonts w:hint="eastAsia" w:ascii="仿宋_GB2312" w:hAnsi="仿宋" w:eastAsia="仿宋_GB2312"/>
          <w:sz w:val="28"/>
          <w:szCs w:val="28"/>
        </w:rPr>
        <w:t>41443.53</w:t>
      </w:r>
      <w:r>
        <w:rPr>
          <w:rFonts w:hint="eastAsia" w:ascii="仿宋_GB2312" w:eastAsia="仿宋_GB2312"/>
          <w:sz w:val="32"/>
          <w:szCs w:val="32"/>
        </w:rPr>
        <w:t>元，比上年增加2328.23元；公务用车购置费</w:t>
      </w:r>
      <w:r>
        <w:rPr>
          <w:rFonts w:hint="eastAsia" w:ascii="仿宋_GB2312" w:hAnsi="仿宋" w:eastAsia="仿宋_GB2312"/>
          <w:sz w:val="32"/>
          <w:szCs w:val="32"/>
        </w:rPr>
        <w:t>0</w:t>
      </w:r>
      <w:r>
        <w:rPr>
          <w:rFonts w:hint="eastAsia" w:ascii="仿宋_GB2312" w:eastAsia="仿宋_GB2312"/>
          <w:sz w:val="32"/>
          <w:szCs w:val="32"/>
        </w:rPr>
        <w:t>元，比上年减少（增加）</w:t>
      </w:r>
      <w:r>
        <w:rPr>
          <w:rFonts w:hint="eastAsia" w:ascii="仿宋_GB2312" w:hAnsi="仿宋" w:eastAsia="仿宋_GB2312"/>
          <w:sz w:val="32"/>
          <w:szCs w:val="32"/>
        </w:rPr>
        <w:t>0</w:t>
      </w:r>
      <w:r>
        <w:rPr>
          <w:rFonts w:hint="eastAsia" w:ascii="仿宋_GB2312" w:eastAsia="仿宋_GB2312"/>
          <w:sz w:val="32"/>
          <w:szCs w:val="32"/>
        </w:rPr>
        <w:t>元。（注：分项数如有增加，也应说明理由。</w:t>
      </w:r>
      <w:r>
        <w:rPr>
          <w:rFonts w:hint="eastAsia" w:ascii="仿宋_GB2312" w:hAnsi="黑体" w:eastAsia="仿宋_GB2312"/>
          <w:b/>
          <w:sz w:val="32"/>
          <w:szCs w:val="32"/>
        </w:rPr>
        <w:t>无“三公”经费的部门，必须说明本部门无“三公”经费。</w:t>
      </w:r>
      <w:r>
        <w:rPr>
          <w:rFonts w:hint="eastAsia" w:ascii="仿宋_GB2312" w:eastAsia="仿宋_GB2312"/>
          <w:sz w:val="32"/>
          <w:szCs w:val="32"/>
        </w:rPr>
        <w:t>）</w:t>
      </w:r>
    </w:p>
    <w:p>
      <w:pPr>
        <w:ind w:firstLine="636"/>
        <w:rPr>
          <w:rFonts w:ascii="仿宋_GB2312" w:hAnsi="楷体" w:eastAsia="仿宋_GB2312"/>
          <w:b/>
          <w:sz w:val="32"/>
          <w:szCs w:val="32"/>
        </w:rPr>
      </w:pPr>
      <w:r>
        <w:rPr>
          <w:rFonts w:hint="eastAsia" w:ascii="仿宋_GB2312" w:hAnsi="楷体" w:eastAsia="仿宋_GB2312"/>
          <w:b/>
          <w:sz w:val="32"/>
          <w:szCs w:val="32"/>
        </w:rPr>
        <w:t>三、机关运行经费增减变动原因说明（参照决算CS02表）</w:t>
      </w:r>
    </w:p>
    <w:p>
      <w:pPr>
        <w:widowControl/>
        <w:spacing w:line="520" w:lineRule="exact"/>
        <w:ind w:firstLine="482"/>
        <w:rPr>
          <w:rFonts w:ascii="仿宋" w:hAnsi="仿宋" w:eastAsia="仿宋"/>
          <w:sz w:val="32"/>
          <w:szCs w:val="32"/>
        </w:rPr>
      </w:pPr>
      <w:r>
        <w:rPr>
          <w:rFonts w:hint="eastAsia" w:ascii="仿宋_GB2312" w:hAnsi="仿宋" w:eastAsia="仿宋_GB2312"/>
          <w:sz w:val="32"/>
          <w:szCs w:val="32"/>
        </w:rPr>
        <w:t>2019年行政单位（或者参照公务员法管理事业单位）的机关运行经费财政拨款预算828461.33元，比2018年决算增加254934.63元，增长44.458%,增加主要原因</w:t>
      </w:r>
      <w:r>
        <w:rPr>
          <w:rFonts w:hint="eastAsia" w:ascii="仿宋_GB2312" w:eastAsia="仿宋_GB2312" w:cs="宋体"/>
          <w:sz w:val="32"/>
          <w:szCs w:val="32"/>
        </w:rPr>
        <w:t>为解决自收自支2人、长期合同制工人1人2013年以来遗留的养老保险缴费。</w:t>
      </w:r>
    </w:p>
    <w:p>
      <w:pPr>
        <w:ind w:firstLine="636"/>
        <w:rPr>
          <w:rFonts w:ascii="仿宋_GB2312" w:hAnsi="楷体" w:eastAsia="仿宋_GB2312"/>
          <w:b/>
          <w:sz w:val="32"/>
          <w:szCs w:val="32"/>
        </w:rPr>
      </w:pPr>
      <w:r>
        <w:rPr>
          <w:rFonts w:hint="eastAsia" w:ascii="仿宋_GB2312" w:hAnsi="楷体" w:eastAsia="仿宋_GB2312"/>
          <w:b/>
          <w:sz w:val="32"/>
          <w:szCs w:val="32"/>
        </w:rPr>
        <w:t>四、政府采购情况</w:t>
      </w:r>
    </w:p>
    <w:p>
      <w:pPr>
        <w:ind w:firstLine="636"/>
        <w:rPr>
          <w:rFonts w:ascii="仿宋_GB2312" w:hAnsi="仿宋" w:eastAsia="仿宋_GB2312"/>
          <w:sz w:val="32"/>
          <w:szCs w:val="32"/>
        </w:rPr>
      </w:pPr>
      <w:r>
        <w:rPr>
          <w:rFonts w:hint="eastAsia" w:ascii="仿宋_GB2312" w:hAnsi="仿宋" w:eastAsia="仿宋_GB2312"/>
          <w:sz w:val="32"/>
          <w:szCs w:val="32"/>
        </w:rPr>
        <w:t>2019年</w:t>
      </w:r>
      <w:r>
        <w:rPr>
          <w:rFonts w:hint="eastAsia" w:ascii="仿宋_GB2312" w:hAnsi="楷体" w:eastAsia="仿宋_GB2312"/>
          <w:sz w:val="32"/>
          <w:szCs w:val="32"/>
        </w:rPr>
        <w:t>我</w:t>
      </w:r>
      <w:r>
        <w:rPr>
          <w:rFonts w:hint="eastAsia" w:ascii="仿宋_GB2312" w:hAnsi="仿宋" w:eastAsia="仿宋_GB2312"/>
          <w:sz w:val="32"/>
          <w:szCs w:val="32"/>
        </w:rPr>
        <w:t>单位政府采购预算总额1227800 元，其中：政府采购货物1227800元（其中购置会议室桌椅等197800元，防震减灾中心采购货物30000元，救灾物资1000000元）、政府采购工程0元、政府采购服务0元。</w:t>
      </w:r>
    </w:p>
    <w:p>
      <w:pPr>
        <w:ind w:firstLine="636"/>
        <w:rPr>
          <w:rFonts w:ascii="仿宋_GB2312" w:hAnsi="楷体" w:eastAsia="仿宋_GB2312"/>
          <w:b/>
          <w:sz w:val="32"/>
          <w:szCs w:val="32"/>
        </w:rPr>
      </w:pPr>
      <w:r>
        <w:rPr>
          <w:rFonts w:hint="eastAsia" w:ascii="仿宋_GB2312" w:hAnsi="楷体" w:eastAsia="仿宋_GB2312"/>
          <w:b/>
          <w:sz w:val="32"/>
          <w:szCs w:val="32"/>
        </w:rPr>
        <w:t>五、绩效管理情况</w:t>
      </w:r>
    </w:p>
    <w:p>
      <w:pPr>
        <w:ind w:firstLine="636"/>
        <w:rPr>
          <w:rFonts w:ascii="仿宋_GB2312" w:hAnsi="仿宋" w:eastAsia="仿宋_GB2312"/>
          <w:sz w:val="32"/>
          <w:szCs w:val="32"/>
        </w:rPr>
      </w:pPr>
      <w:r>
        <w:rPr>
          <w:rFonts w:hint="eastAsia" w:ascii="仿宋_GB2312" w:hAnsi="仿宋" w:eastAsia="仿宋_GB2312"/>
          <w:sz w:val="32"/>
          <w:szCs w:val="32"/>
        </w:rPr>
        <w:t>1、绩效管理情况</w:t>
      </w:r>
    </w:p>
    <w:p>
      <w:pPr>
        <w:ind w:firstLine="640" w:firstLineChars="200"/>
        <w:rPr>
          <w:rFonts w:ascii="仿宋_GB2312" w:hAnsi="仿宋" w:eastAsia="仿宋_GB2312"/>
          <w:sz w:val="32"/>
          <w:szCs w:val="32"/>
        </w:rPr>
      </w:pPr>
      <w:r>
        <w:rPr>
          <w:rFonts w:hint="eastAsia" w:ascii="仿宋_GB2312" w:eastAsia="仿宋_GB2312" w:cs="宋体"/>
          <w:sz w:val="32"/>
          <w:szCs w:val="32"/>
        </w:rPr>
        <w:t>2019年度项目主要是延续2018年未完成的平顺县采空区、尾矿库治理工程。2018年11月接到上级</w:t>
      </w:r>
      <w:r>
        <w:rPr>
          <w:rFonts w:hint="eastAsia" w:ascii="仿宋_GB2312" w:eastAsia="仿宋_GB2312" w:cs="宋体"/>
          <w:sz w:val="32"/>
          <w:szCs w:val="32"/>
          <w:lang w:eastAsia="zh-CN"/>
        </w:rPr>
        <w:t>下拨</w:t>
      </w:r>
      <w:r>
        <w:rPr>
          <w:rFonts w:hint="eastAsia" w:ascii="仿宋_GB2312" w:eastAsia="仿宋_GB2312" w:cs="宋体"/>
          <w:sz w:val="32"/>
          <w:szCs w:val="32"/>
        </w:rPr>
        <w:t>山西省第二批债券资金1000万元，对全县的采空区、尾矿库进行排查、统计、分析，委托有资质单位对其进行设计、勘察及前期施工准备，支出465.54万元。2019年度按照工程进度已完成支付534.46万元。</w:t>
      </w:r>
    </w:p>
    <w:p>
      <w:pPr>
        <w:numPr>
          <w:ilvl w:val="0"/>
          <w:numId w:val="1"/>
        </w:numPr>
        <w:ind w:firstLine="636"/>
        <w:rPr>
          <w:rFonts w:ascii="仿宋_GB2312" w:hAnsi="仿宋" w:eastAsia="仿宋_GB2312"/>
          <w:sz w:val="32"/>
          <w:szCs w:val="32"/>
        </w:rPr>
      </w:pPr>
      <w:r>
        <w:rPr>
          <w:rFonts w:hint="eastAsia" w:ascii="仿宋_GB2312" w:hAnsi="仿宋" w:eastAsia="仿宋_GB2312"/>
          <w:sz w:val="32"/>
          <w:szCs w:val="32"/>
        </w:rPr>
        <w:t>绩效目标情况</w:t>
      </w:r>
    </w:p>
    <w:p>
      <w:pPr>
        <w:widowControl/>
        <w:spacing w:line="520" w:lineRule="exact"/>
        <w:ind w:firstLine="640" w:firstLineChars="200"/>
        <w:rPr>
          <w:rFonts w:ascii="仿宋_GB2312" w:eastAsia="仿宋_GB2312" w:cs="宋体"/>
          <w:sz w:val="32"/>
          <w:szCs w:val="32"/>
        </w:rPr>
      </w:pPr>
      <w:r>
        <w:rPr>
          <w:rFonts w:hint="eastAsia" w:ascii="仿宋_GB2312" w:eastAsia="仿宋_GB2312" w:cs="宋体"/>
          <w:sz w:val="32"/>
          <w:szCs w:val="32"/>
        </w:rPr>
        <w:t>在严格遵守财政部门预算绩效管理的相关要求下，按照资金性质，产出指标、效益指标、影响力指标等，我单位整体支出绩效目标基本实现。</w:t>
      </w:r>
    </w:p>
    <w:p>
      <w:pPr>
        <w:ind w:firstLine="636"/>
        <w:rPr>
          <w:rFonts w:ascii="仿宋_GB2312" w:hAnsi="楷体" w:eastAsia="仿宋_GB2312"/>
          <w:b/>
          <w:sz w:val="32"/>
          <w:szCs w:val="32"/>
        </w:rPr>
      </w:pPr>
      <w:r>
        <w:rPr>
          <w:rFonts w:hint="eastAsia" w:ascii="仿宋_GB2312" w:hAnsi="楷体" w:eastAsia="仿宋_GB2312"/>
          <w:b/>
          <w:sz w:val="32"/>
          <w:szCs w:val="32"/>
        </w:rPr>
        <w:t>六、国有资产占有使用情况及上下年对比情况（参照决算</w:t>
      </w:r>
      <w:r>
        <w:rPr>
          <w:rFonts w:hint="eastAsia" w:ascii="仿宋_GB2312" w:hAnsi="仿宋" w:eastAsia="仿宋_GB2312"/>
          <w:b/>
          <w:sz w:val="32"/>
          <w:szCs w:val="32"/>
        </w:rPr>
        <w:t>F01表预算支出相关信息表表</w:t>
      </w:r>
      <w:r>
        <w:rPr>
          <w:rFonts w:hint="eastAsia" w:ascii="仿宋_GB2312" w:hAnsi="楷体" w:eastAsia="仿宋_GB2312"/>
          <w:b/>
          <w:sz w:val="32"/>
          <w:szCs w:val="32"/>
        </w:rPr>
        <w:t>）</w:t>
      </w:r>
    </w:p>
    <w:p>
      <w:pPr>
        <w:ind w:firstLine="636"/>
        <w:rPr>
          <w:rFonts w:ascii="仿宋_GB2312" w:hAnsi="楷体" w:eastAsia="仿宋_GB2312"/>
          <w:b/>
          <w:sz w:val="32"/>
          <w:szCs w:val="32"/>
        </w:rPr>
      </w:pPr>
      <w:r>
        <w:rPr>
          <w:rFonts w:hint="eastAsia" w:ascii="仿宋_GB2312" w:hAnsi="仿宋" w:eastAsia="仿宋_GB2312"/>
          <w:sz w:val="32"/>
          <w:szCs w:val="32"/>
        </w:rPr>
        <w:t>（一）国有资产占有使用情况</w:t>
      </w:r>
    </w:p>
    <w:p>
      <w:pPr>
        <w:ind w:firstLine="636"/>
        <w:rPr>
          <w:rFonts w:ascii="仿宋_GB2312" w:hAnsi="仿宋" w:eastAsia="仿宋_GB2312"/>
          <w:sz w:val="32"/>
          <w:szCs w:val="32"/>
        </w:rPr>
      </w:pPr>
      <w:r>
        <w:rPr>
          <w:rFonts w:hint="eastAsia" w:ascii="仿宋_GB2312" w:hAnsi="仿宋" w:eastAsia="仿宋_GB2312"/>
          <w:sz w:val="32"/>
          <w:szCs w:val="32"/>
        </w:rPr>
        <w:t>1、车辆情况：资产账上有3两，1辆正常运行，1辆待处置，1辆</w:t>
      </w:r>
      <w:r>
        <w:rPr>
          <w:rFonts w:hint="eastAsia" w:ascii="仿宋_GB2312" w:hAnsi="仿宋" w:eastAsia="仿宋_GB2312"/>
          <w:sz w:val="32"/>
          <w:szCs w:val="32"/>
          <w:lang w:eastAsia="zh-CN"/>
        </w:rPr>
        <w:t>调拨</w:t>
      </w:r>
      <w:r>
        <w:rPr>
          <w:rFonts w:hint="eastAsia" w:ascii="仿宋_GB2312" w:hAnsi="仿宋" w:eastAsia="仿宋_GB2312"/>
          <w:sz w:val="32"/>
          <w:szCs w:val="32"/>
        </w:rPr>
        <w:t>至东寺头乡政府。</w:t>
      </w:r>
    </w:p>
    <w:p>
      <w:pPr>
        <w:ind w:firstLine="636"/>
        <w:rPr>
          <w:rFonts w:ascii="仿宋_GB2312" w:hAnsi="仿宋" w:eastAsia="仿宋_GB2312"/>
          <w:sz w:val="32"/>
          <w:szCs w:val="32"/>
        </w:rPr>
      </w:pPr>
      <w:r>
        <w:rPr>
          <w:rFonts w:hint="eastAsia" w:ascii="仿宋_GB2312" w:hAnsi="仿宋" w:eastAsia="仿宋_GB2312"/>
          <w:sz w:val="32"/>
          <w:szCs w:val="32"/>
        </w:rPr>
        <w:t>消防车辆行驶证车属单位为市消防救援支队</w:t>
      </w:r>
    </w:p>
    <w:p>
      <w:pPr>
        <w:ind w:firstLine="636"/>
        <w:rPr>
          <w:rFonts w:ascii="仿宋_GB2312" w:hAnsi="仿宋" w:eastAsia="仿宋_GB2312"/>
          <w:sz w:val="32"/>
          <w:szCs w:val="32"/>
        </w:rPr>
      </w:pPr>
      <w:r>
        <w:rPr>
          <w:rFonts w:hint="eastAsia" w:ascii="仿宋_GB2312" w:hAnsi="仿宋" w:eastAsia="仿宋_GB2312"/>
          <w:sz w:val="32"/>
          <w:szCs w:val="32"/>
        </w:rPr>
        <w:t>2、房屋情况：机关事务管理局分配用房。</w:t>
      </w:r>
    </w:p>
    <w:p>
      <w:pPr>
        <w:ind w:firstLine="636"/>
        <w:rPr>
          <w:rFonts w:ascii="仿宋" w:hAnsi="仿宋" w:eastAsia="仿宋_GB2312"/>
          <w:sz w:val="32"/>
          <w:szCs w:val="32"/>
        </w:rPr>
      </w:pPr>
      <w:r>
        <w:rPr>
          <w:rFonts w:hint="eastAsia" w:ascii="仿宋_GB2312" w:hAnsi="仿宋" w:eastAsia="仿宋_GB2312"/>
          <w:sz w:val="32"/>
          <w:szCs w:val="32"/>
        </w:rPr>
        <w:t>3、其他国有资产占有使用情况</w:t>
      </w:r>
      <w:r>
        <w:rPr>
          <w:rFonts w:hint="eastAsia" w:ascii="仿宋" w:hAnsi="仿宋" w:eastAsia="仿宋"/>
          <w:sz w:val="32"/>
          <w:szCs w:val="32"/>
        </w:rPr>
        <w:t>：办公设备、部分专用设备正常使用。</w:t>
      </w:r>
    </w:p>
    <w:p>
      <w:pPr>
        <w:ind w:firstLine="636"/>
        <w:rPr>
          <w:rFonts w:ascii="仿宋_GB2312" w:hAnsi="楷体" w:eastAsia="仿宋_GB2312"/>
          <w:sz w:val="32"/>
          <w:szCs w:val="32"/>
        </w:rPr>
      </w:pPr>
      <w:r>
        <w:rPr>
          <w:rFonts w:hint="eastAsia" w:ascii="仿宋_GB2312" w:hAnsi="仿宋" w:eastAsia="仿宋_GB2312"/>
          <w:sz w:val="32"/>
          <w:szCs w:val="32"/>
        </w:rPr>
        <w:t>（二）</w:t>
      </w:r>
      <w:r>
        <w:rPr>
          <w:rFonts w:hint="eastAsia" w:ascii="仿宋_GB2312" w:hAnsi="楷体" w:eastAsia="仿宋_GB2312"/>
          <w:sz w:val="32"/>
          <w:szCs w:val="32"/>
        </w:rPr>
        <w:t>资产上下年对比情况</w:t>
      </w:r>
    </w:p>
    <w:tbl>
      <w:tblPr>
        <w:tblStyle w:val="4"/>
        <w:tblW w:w="9580" w:type="dxa"/>
        <w:tblInd w:w="91" w:type="dxa"/>
        <w:tblLayout w:type="autofit"/>
        <w:tblCellMar>
          <w:top w:w="0" w:type="dxa"/>
          <w:left w:w="108" w:type="dxa"/>
          <w:bottom w:w="0" w:type="dxa"/>
          <w:right w:w="108" w:type="dxa"/>
        </w:tblCellMar>
      </w:tblPr>
      <w:tblGrid>
        <w:gridCol w:w="2440"/>
        <w:gridCol w:w="2380"/>
        <w:gridCol w:w="2380"/>
        <w:gridCol w:w="2380"/>
      </w:tblGrid>
      <w:tr>
        <w:tblPrEx>
          <w:tblCellMar>
            <w:top w:w="0" w:type="dxa"/>
            <w:left w:w="108" w:type="dxa"/>
            <w:bottom w:w="0" w:type="dxa"/>
            <w:right w:w="108" w:type="dxa"/>
          </w:tblCellMar>
        </w:tblPrEx>
        <w:trPr>
          <w:trHeight w:val="390" w:hRule="atLeast"/>
        </w:trPr>
        <w:tc>
          <w:tcPr>
            <w:tcW w:w="244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Arial"/>
                <w:b/>
                <w:bCs/>
                <w:kern w:val="0"/>
                <w:sz w:val="20"/>
                <w:szCs w:val="20"/>
              </w:rPr>
            </w:pPr>
            <w:r>
              <w:rPr>
                <w:rFonts w:hint="eastAsia" w:ascii="宋体" w:hAnsi="宋体" w:cs="Arial"/>
                <w:b/>
                <w:bCs/>
                <w:kern w:val="0"/>
                <w:sz w:val="20"/>
                <w:szCs w:val="20"/>
              </w:rPr>
              <w:t>固定资产类</w:t>
            </w:r>
          </w:p>
        </w:tc>
        <w:tc>
          <w:tcPr>
            <w:tcW w:w="4760"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Arial"/>
                <w:b/>
                <w:bCs/>
                <w:kern w:val="0"/>
                <w:sz w:val="20"/>
                <w:szCs w:val="20"/>
              </w:rPr>
            </w:pPr>
            <w:r>
              <w:rPr>
                <w:rFonts w:hint="eastAsia" w:ascii="宋体" w:hAnsi="宋体" w:cs="Arial"/>
                <w:b/>
                <w:bCs/>
                <w:kern w:val="0"/>
                <w:sz w:val="20"/>
                <w:szCs w:val="20"/>
              </w:rPr>
              <w:t>金额</w:t>
            </w:r>
          </w:p>
        </w:tc>
        <w:tc>
          <w:tcPr>
            <w:tcW w:w="238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Arial"/>
                <w:b/>
                <w:bCs/>
                <w:kern w:val="0"/>
                <w:sz w:val="20"/>
                <w:szCs w:val="20"/>
              </w:rPr>
            </w:pPr>
            <w:r>
              <w:rPr>
                <w:rFonts w:hint="eastAsia" w:ascii="宋体" w:hAnsi="宋体" w:cs="Arial"/>
                <w:b/>
                <w:bCs/>
                <w:kern w:val="0"/>
                <w:sz w:val="20"/>
                <w:szCs w:val="20"/>
              </w:rPr>
              <w:t>差额</w:t>
            </w:r>
          </w:p>
        </w:tc>
      </w:tr>
      <w:tr>
        <w:tblPrEx>
          <w:tblCellMar>
            <w:top w:w="0" w:type="dxa"/>
            <w:left w:w="108" w:type="dxa"/>
            <w:bottom w:w="0" w:type="dxa"/>
            <w:right w:w="108" w:type="dxa"/>
          </w:tblCellMar>
        </w:tblPrEx>
        <w:trPr>
          <w:trHeight w:val="390" w:hRule="atLeast"/>
        </w:trPr>
        <w:tc>
          <w:tcPr>
            <w:tcW w:w="24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b/>
                <w:bCs/>
                <w:kern w:val="0"/>
                <w:sz w:val="20"/>
                <w:szCs w:val="20"/>
              </w:rPr>
            </w:pPr>
          </w:p>
        </w:tc>
        <w:tc>
          <w:tcPr>
            <w:tcW w:w="2380" w:type="dxa"/>
            <w:tcBorders>
              <w:top w:val="nil"/>
              <w:left w:val="nil"/>
              <w:bottom w:val="single" w:color="auto" w:sz="4" w:space="0"/>
              <w:right w:val="single" w:color="auto" w:sz="4" w:space="0"/>
            </w:tcBorders>
            <w:noWrap/>
            <w:vAlign w:val="center"/>
          </w:tcPr>
          <w:p>
            <w:pPr>
              <w:widowControl/>
              <w:jc w:val="center"/>
              <w:rPr>
                <w:rFonts w:ascii="Arial" w:hAnsi="Arial" w:cs="Arial"/>
                <w:b/>
                <w:bCs/>
                <w:kern w:val="0"/>
                <w:sz w:val="20"/>
                <w:szCs w:val="20"/>
              </w:rPr>
            </w:pPr>
            <w:r>
              <w:rPr>
                <w:rFonts w:ascii="Arial" w:hAnsi="Arial" w:cs="Arial"/>
                <w:b/>
                <w:bCs/>
                <w:kern w:val="0"/>
                <w:sz w:val="20"/>
                <w:szCs w:val="20"/>
              </w:rPr>
              <w:t>2019</w:t>
            </w:r>
            <w:r>
              <w:rPr>
                <w:rFonts w:hint="eastAsia" w:ascii="宋体" w:hAnsi="宋体" w:cs="Arial"/>
                <w:b/>
                <w:bCs/>
                <w:kern w:val="0"/>
                <w:sz w:val="20"/>
                <w:szCs w:val="20"/>
              </w:rPr>
              <w:t>年度</w:t>
            </w:r>
          </w:p>
        </w:tc>
        <w:tc>
          <w:tcPr>
            <w:tcW w:w="2380" w:type="dxa"/>
            <w:tcBorders>
              <w:top w:val="nil"/>
              <w:left w:val="nil"/>
              <w:bottom w:val="single" w:color="auto" w:sz="4" w:space="0"/>
              <w:right w:val="single" w:color="auto" w:sz="4" w:space="0"/>
            </w:tcBorders>
            <w:noWrap/>
            <w:vAlign w:val="center"/>
          </w:tcPr>
          <w:p>
            <w:pPr>
              <w:widowControl/>
              <w:jc w:val="center"/>
              <w:rPr>
                <w:rFonts w:ascii="Arial" w:hAnsi="Arial" w:cs="Arial"/>
                <w:b/>
                <w:bCs/>
                <w:kern w:val="0"/>
                <w:sz w:val="20"/>
                <w:szCs w:val="20"/>
              </w:rPr>
            </w:pPr>
            <w:r>
              <w:rPr>
                <w:rFonts w:ascii="Arial" w:hAnsi="Arial" w:cs="Arial"/>
                <w:b/>
                <w:bCs/>
                <w:kern w:val="0"/>
                <w:sz w:val="20"/>
                <w:szCs w:val="20"/>
              </w:rPr>
              <w:t>2018</w:t>
            </w:r>
            <w:r>
              <w:rPr>
                <w:rFonts w:hint="eastAsia" w:ascii="宋体" w:hAnsi="宋体" w:cs="Arial"/>
                <w:b/>
                <w:bCs/>
                <w:kern w:val="0"/>
                <w:sz w:val="20"/>
                <w:szCs w:val="20"/>
              </w:rPr>
              <w:t>年度</w:t>
            </w:r>
          </w:p>
        </w:tc>
        <w:tc>
          <w:tcPr>
            <w:tcW w:w="23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b/>
                <w:bCs/>
                <w:kern w:val="0"/>
                <w:sz w:val="20"/>
                <w:szCs w:val="20"/>
              </w:rPr>
            </w:pPr>
          </w:p>
        </w:tc>
      </w:tr>
      <w:tr>
        <w:tblPrEx>
          <w:tblCellMar>
            <w:top w:w="0" w:type="dxa"/>
            <w:left w:w="108" w:type="dxa"/>
            <w:bottom w:w="0" w:type="dxa"/>
            <w:right w:w="108" w:type="dxa"/>
          </w:tblCellMar>
        </w:tblPrEx>
        <w:trPr>
          <w:trHeight w:val="390" w:hRule="atLeast"/>
        </w:trPr>
        <w:tc>
          <w:tcPr>
            <w:tcW w:w="244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Arial"/>
                <w:kern w:val="0"/>
                <w:sz w:val="20"/>
                <w:szCs w:val="20"/>
              </w:rPr>
            </w:pPr>
            <w:r>
              <w:rPr>
                <w:rFonts w:hint="eastAsia" w:ascii="宋体" w:hAnsi="宋体" w:cs="Arial"/>
                <w:kern w:val="0"/>
                <w:sz w:val="20"/>
                <w:szCs w:val="20"/>
              </w:rPr>
              <w:t>车辆资产原值（A）</w:t>
            </w:r>
          </w:p>
        </w:tc>
        <w:tc>
          <w:tcPr>
            <w:tcW w:w="2380"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szCs w:val="20"/>
              </w:rPr>
            </w:pPr>
            <w:r>
              <w:rPr>
                <w:rFonts w:hint="eastAsia" w:ascii="Arial" w:hAnsi="Arial" w:cs="Arial"/>
                <w:kern w:val="0"/>
                <w:sz w:val="20"/>
                <w:szCs w:val="20"/>
              </w:rPr>
              <w:t>417800</w:t>
            </w:r>
            <w:r>
              <w:rPr>
                <w:rFonts w:ascii="Arial" w:hAnsi="Arial" w:cs="Arial"/>
                <w:kern w:val="0"/>
                <w:sz w:val="20"/>
                <w:szCs w:val="20"/>
              </w:rPr>
              <w:t>　</w:t>
            </w:r>
          </w:p>
        </w:tc>
        <w:tc>
          <w:tcPr>
            <w:tcW w:w="2380"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szCs w:val="20"/>
              </w:rPr>
            </w:pPr>
            <w:r>
              <w:rPr>
                <w:rFonts w:hint="eastAsia" w:ascii="Arial" w:hAnsi="Arial" w:cs="Arial"/>
                <w:kern w:val="0"/>
                <w:sz w:val="20"/>
                <w:szCs w:val="20"/>
              </w:rPr>
              <w:t>417800</w:t>
            </w:r>
            <w:r>
              <w:rPr>
                <w:rFonts w:ascii="Arial" w:hAnsi="Arial" w:cs="Arial"/>
                <w:kern w:val="0"/>
                <w:sz w:val="20"/>
                <w:szCs w:val="20"/>
              </w:rPr>
              <w:t>　</w:t>
            </w:r>
          </w:p>
        </w:tc>
        <w:tc>
          <w:tcPr>
            <w:tcW w:w="2380"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szCs w:val="20"/>
              </w:rPr>
            </w:pPr>
            <w:r>
              <w:rPr>
                <w:rFonts w:ascii="Arial" w:hAnsi="Arial" w:cs="Arial"/>
                <w:kern w:val="0"/>
                <w:sz w:val="20"/>
                <w:szCs w:val="20"/>
              </w:rPr>
              <w:t>　</w:t>
            </w:r>
            <w:r>
              <w:rPr>
                <w:rFonts w:hint="eastAsia" w:ascii="Arial" w:hAnsi="Arial" w:cs="Arial"/>
                <w:kern w:val="0"/>
                <w:sz w:val="20"/>
                <w:szCs w:val="20"/>
              </w:rPr>
              <w:t>0</w:t>
            </w:r>
          </w:p>
        </w:tc>
      </w:tr>
      <w:tr>
        <w:tblPrEx>
          <w:tblCellMar>
            <w:top w:w="0" w:type="dxa"/>
            <w:left w:w="108" w:type="dxa"/>
            <w:bottom w:w="0" w:type="dxa"/>
            <w:right w:w="108" w:type="dxa"/>
          </w:tblCellMar>
        </w:tblPrEx>
        <w:trPr>
          <w:trHeight w:val="390" w:hRule="atLeast"/>
        </w:trPr>
        <w:tc>
          <w:tcPr>
            <w:tcW w:w="244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Arial"/>
                <w:kern w:val="0"/>
                <w:sz w:val="20"/>
                <w:szCs w:val="20"/>
              </w:rPr>
            </w:pPr>
            <w:r>
              <w:rPr>
                <w:rFonts w:hint="eastAsia" w:ascii="宋体" w:hAnsi="宋体" w:cs="Arial"/>
                <w:kern w:val="0"/>
                <w:sz w:val="20"/>
                <w:szCs w:val="20"/>
              </w:rPr>
              <w:t>房屋资产原值（B）</w:t>
            </w:r>
          </w:p>
        </w:tc>
        <w:tc>
          <w:tcPr>
            <w:tcW w:w="2380"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szCs w:val="20"/>
              </w:rPr>
            </w:pPr>
            <w:r>
              <w:rPr>
                <w:rFonts w:ascii="Arial" w:hAnsi="Arial" w:cs="Arial"/>
                <w:kern w:val="0"/>
                <w:sz w:val="20"/>
                <w:szCs w:val="20"/>
              </w:rPr>
              <w:t>　</w:t>
            </w:r>
            <w:r>
              <w:rPr>
                <w:rFonts w:hint="eastAsia" w:ascii="Arial" w:hAnsi="Arial" w:cs="Arial"/>
                <w:kern w:val="0"/>
                <w:sz w:val="20"/>
                <w:szCs w:val="20"/>
              </w:rPr>
              <w:t>0</w:t>
            </w:r>
          </w:p>
        </w:tc>
        <w:tc>
          <w:tcPr>
            <w:tcW w:w="2380"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szCs w:val="20"/>
              </w:rPr>
            </w:pPr>
            <w:r>
              <w:rPr>
                <w:rFonts w:hint="eastAsia" w:ascii="Arial" w:hAnsi="Arial" w:cs="Arial"/>
                <w:kern w:val="0"/>
                <w:sz w:val="20"/>
                <w:szCs w:val="20"/>
              </w:rPr>
              <w:t>0</w:t>
            </w:r>
            <w:r>
              <w:rPr>
                <w:rFonts w:ascii="Arial" w:hAnsi="Arial" w:cs="Arial"/>
                <w:kern w:val="0"/>
                <w:sz w:val="20"/>
                <w:szCs w:val="20"/>
              </w:rPr>
              <w:t>　</w:t>
            </w:r>
          </w:p>
        </w:tc>
        <w:tc>
          <w:tcPr>
            <w:tcW w:w="2380"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szCs w:val="20"/>
              </w:rPr>
            </w:pPr>
            <w:r>
              <w:rPr>
                <w:rFonts w:ascii="Arial" w:hAnsi="Arial" w:cs="Arial"/>
                <w:kern w:val="0"/>
                <w:sz w:val="20"/>
                <w:szCs w:val="20"/>
              </w:rPr>
              <w:t>　</w:t>
            </w:r>
            <w:r>
              <w:rPr>
                <w:rFonts w:hint="eastAsia" w:ascii="Arial" w:hAnsi="Arial" w:cs="Arial"/>
                <w:kern w:val="0"/>
                <w:sz w:val="20"/>
                <w:szCs w:val="20"/>
              </w:rPr>
              <w:t>0</w:t>
            </w:r>
          </w:p>
        </w:tc>
      </w:tr>
      <w:tr>
        <w:tblPrEx>
          <w:tblCellMar>
            <w:top w:w="0" w:type="dxa"/>
            <w:left w:w="108" w:type="dxa"/>
            <w:bottom w:w="0" w:type="dxa"/>
            <w:right w:w="108" w:type="dxa"/>
          </w:tblCellMar>
        </w:tblPrEx>
        <w:trPr>
          <w:trHeight w:val="390" w:hRule="atLeast"/>
        </w:trPr>
        <w:tc>
          <w:tcPr>
            <w:tcW w:w="244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Arial"/>
                <w:kern w:val="0"/>
                <w:sz w:val="20"/>
                <w:szCs w:val="20"/>
              </w:rPr>
            </w:pPr>
            <w:r>
              <w:rPr>
                <w:rFonts w:hint="eastAsia" w:ascii="宋体" w:hAnsi="宋体" w:cs="Arial"/>
                <w:kern w:val="0"/>
                <w:sz w:val="20"/>
                <w:szCs w:val="20"/>
              </w:rPr>
              <w:t>其他固定资产原值（C）</w:t>
            </w:r>
          </w:p>
        </w:tc>
        <w:tc>
          <w:tcPr>
            <w:tcW w:w="2380"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szCs w:val="20"/>
              </w:rPr>
            </w:pPr>
            <w:r>
              <w:rPr>
                <w:rFonts w:hint="eastAsia" w:ascii="Arial" w:hAnsi="Arial" w:cs="Arial"/>
                <w:kern w:val="0"/>
                <w:sz w:val="20"/>
                <w:szCs w:val="20"/>
              </w:rPr>
              <w:t>2536180</w:t>
            </w:r>
          </w:p>
        </w:tc>
        <w:tc>
          <w:tcPr>
            <w:tcW w:w="2380" w:type="dxa"/>
            <w:tcBorders>
              <w:top w:val="nil"/>
              <w:left w:val="nil"/>
              <w:bottom w:val="single" w:color="auto" w:sz="4" w:space="0"/>
              <w:right w:val="single" w:color="auto" w:sz="4" w:space="0"/>
            </w:tcBorders>
            <w:noWrap/>
            <w:vAlign w:val="center"/>
          </w:tcPr>
          <w:p>
            <w:pPr>
              <w:widowControl/>
              <w:jc w:val="center"/>
              <w:rPr>
                <w:rFonts w:ascii="Arial" w:hAnsi="Arial" w:cs="Arial"/>
                <w:kern w:val="0"/>
                <w:sz w:val="20"/>
                <w:szCs w:val="20"/>
              </w:rPr>
            </w:pPr>
            <w:r>
              <w:rPr>
                <w:rFonts w:hint="eastAsia" w:ascii="Arial" w:hAnsi="Arial" w:cs="Arial"/>
                <w:kern w:val="0"/>
                <w:sz w:val="20"/>
                <w:szCs w:val="20"/>
              </w:rPr>
              <w:t>2289235</w:t>
            </w:r>
            <w:r>
              <w:rPr>
                <w:rFonts w:ascii="Arial" w:hAnsi="Arial" w:cs="Arial"/>
                <w:kern w:val="0"/>
                <w:sz w:val="20"/>
                <w:szCs w:val="20"/>
              </w:rPr>
              <w:t>　</w:t>
            </w:r>
          </w:p>
        </w:tc>
        <w:tc>
          <w:tcPr>
            <w:tcW w:w="2380" w:type="dxa"/>
            <w:tcBorders>
              <w:top w:val="nil"/>
              <w:left w:val="nil"/>
              <w:bottom w:val="single" w:color="auto" w:sz="4" w:space="0"/>
              <w:right w:val="single" w:color="auto" w:sz="4" w:space="0"/>
            </w:tcBorders>
            <w:noWrap/>
            <w:vAlign w:val="center"/>
          </w:tcPr>
          <w:p>
            <w:pPr>
              <w:widowControl/>
              <w:jc w:val="left"/>
              <w:rPr>
                <w:rFonts w:ascii="Arial" w:hAnsi="Arial" w:cs="Arial"/>
                <w:kern w:val="0"/>
                <w:sz w:val="20"/>
                <w:szCs w:val="20"/>
              </w:rPr>
            </w:pPr>
            <w:r>
              <w:rPr>
                <w:rFonts w:ascii="Arial" w:hAnsi="Arial" w:cs="Arial"/>
                <w:kern w:val="0"/>
                <w:sz w:val="20"/>
                <w:szCs w:val="20"/>
              </w:rPr>
              <w:t>　</w:t>
            </w:r>
            <w:r>
              <w:rPr>
                <w:rFonts w:hint="eastAsia" w:ascii="Arial" w:hAnsi="Arial" w:cs="Arial"/>
                <w:kern w:val="0"/>
                <w:sz w:val="20"/>
                <w:szCs w:val="20"/>
              </w:rPr>
              <w:t>246945</w:t>
            </w:r>
          </w:p>
        </w:tc>
      </w:tr>
      <w:tr>
        <w:tblPrEx>
          <w:tblCellMar>
            <w:top w:w="0" w:type="dxa"/>
            <w:left w:w="108" w:type="dxa"/>
            <w:bottom w:w="0" w:type="dxa"/>
            <w:right w:w="108" w:type="dxa"/>
          </w:tblCellMar>
        </w:tblPrEx>
        <w:trPr>
          <w:trHeight w:val="390" w:hRule="atLeast"/>
        </w:trPr>
        <w:tc>
          <w:tcPr>
            <w:tcW w:w="2440" w:type="dxa"/>
            <w:tcBorders>
              <w:top w:val="nil"/>
              <w:left w:val="single" w:color="auto" w:sz="4" w:space="0"/>
              <w:bottom w:val="nil"/>
              <w:right w:val="single" w:color="auto" w:sz="4" w:space="0"/>
            </w:tcBorders>
            <w:shd w:val="clear" w:color="000000" w:fill="FDE9D9"/>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固定资产原值总计（D）</w:t>
            </w:r>
          </w:p>
        </w:tc>
        <w:tc>
          <w:tcPr>
            <w:tcW w:w="2380" w:type="dxa"/>
            <w:tcBorders>
              <w:top w:val="nil"/>
              <w:left w:val="nil"/>
              <w:bottom w:val="nil"/>
              <w:right w:val="single" w:color="auto" w:sz="4" w:space="0"/>
            </w:tcBorders>
            <w:shd w:val="clear" w:color="000000" w:fill="FDE9D9"/>
            <w:noWrap/>
            <w:vAlign w:val="center"/>
          </w:tcPr>
          <w:p>
            <w:pPr>
              <w:widowControl/>
              <w:jc w:val="center"/>
              <w:rPr>
                <w:rFonts w:ascii="Arial" w:hAnsi="Arial" w:cs="Arial"/>
                <w:kern w:val="0"/>
                <w:sz w:val="20"/>
                <w:szCs w:val="20"/>
              </w:rPr>
            </w:pPr>
            <w:r>
              <w:rPr>
                <w:rFonts w:hint="eastAsia" w:ascii="Arial" w:hAnsi="Arial" w:cs="Arial"/>
                <w:kern w:val="0"/>
                <w:sz w:val="20"/>
                <w:szCs w:val="20"/>
              </w:rPr>
              <w:t>2953980</w:t>
            </w:r>
          </w:p>
        </w:tc>
        <w:tc>
          <w:tcPr>
            <w:tcW w:w="2380" w:type="dxa"/>
            <w:tcBorders>
              <w:top w:val="nil"/>
              <w:left w:val="nil"/>
              <w:bottom w:val="nil"/>
              <w:right w:val="single" w:color="auto" w:sz="4" w:space="0"/>
            </w:tcBorders>
            <w:shd w:val="clear" w:color="000000" w:fill="FDE9D9"/>
            <w:noWrap/>
            <w:vAlign w:val="center"/>
          </w:tcPr>
          <w:p>
            <w:pPr>
              <w:widowControl/>
              <w:jc w:val="center"/>
              <w:rPr>
                <w:rFonts w:ascii="Arial" w:hAnsi="Arial" w:cs="Arial"/>
                <w:kern w:val="0"/>
                <w:sz w:val="20"/>
                <w:szCs w:val="20"/>
              </w:rPr>
            </w:pPr>
            <w:r>
              <w:rPr>
                <w:rFonts w:hint="eastAsia" w:ascii="Arial" w:hAnsi="Arial" w:cs="Arial"/>
                <w:kern w:val="0"/>
                <w:sz w:val="20"/>
                <w:szCs w:val="20"/>
              </w:rPr>
              <w:t>2707035</w:t>
            </w:r>
          </w:p>
        </w:tc>
        <w:tc>
          <w:tcPr>
            <w:tcW w:w="2380" w:type="dxa"/>
            <w:tcBorders>
              <w:top w:val="nil"/>
              <w:left w:val="nil"/>
              <w:bottom w:val="nil"/>
              <w:right w:val="single" w:color="auto" w:sz="4" w:space="0"/>
            </w:tcBorders>
            <w:shd w:val="clear" w:color="000000" w:fill="FDE9D9"/>
            <w:noWrap/>
            <w:vAlign w:val="center"/>
          </w:tcPr>
          <w:p>
            <w:pPr>
              <w:widowControl/>
              <w:jc w:val="left"/>
              <w:rPr>
                <w:rFonts w:ascii="Arial" w:hAnsi="Arial" w:cs="Arial"/>
                <w:kern w:val="0"/>
                <w:sz w:val="20"/>
                <w:szCs w:val="20"/>
              </w:rPr>
            </w:pPr>
            <w:r>
              <w:rPr>
                <w:rFonts w:hint="eastAsia" w:ascii="Arial" w:hAnsi="Arial" w:cs="Arial"/>
                <w:kern w:val="0"/>
                <w:sz w:val="20"/>
                <w:szCs w:val="20"/>
              </w:rPr>
              <w:t>246945</w:t>
            </w:r>
          </w:p>
        </w:tc>
      </w:tr>
      <w:tr>
        <w:tblPrEx>
          <w:tblCellMar>
            <w:top w:w="0" w:type="dxa"/>
            <w:left w:w="108" w:type="dxa"/>
            <w:bottom w:w="0" w:type="dxa"/>
            <w:right w:w="108" w:type="dxa"/>
          </w:tblCellMar>
        </w:tblPrEx>
        <w:trPr>
          <w:trHeight w:val="660" w:hRule="atLeast"/>
        </w:trPr>
        <w:tc>
          <w:tcPr>
            <w:tcW w:w="9580" w:type="dxa"/>
            <w:gridSpan w:val="4"/>
            <w:tcBorders>
              <w:top w:val="single" w:color="auto" w:sz="4" w:space="0"/>
              <w:left w:val="single" w:color="auto" w:sz="4" w:space="0"/>
              <w:bottom w:val="nil"/>
              <w:right w:val="single" w:color="000000" w:sz="4" w:space="0"/>
            </w:tcBorders>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备注：1、固定资产总计（原值）应与2019年度决算CS08表资产负债简表中数据一致；车辆资产（原值）和房屋资产（原值）应与2019年度决算F01表预算支出相关信息表中数据一致。</w:t>
            </w:r>
          </w:p>
        </w:tc>
      </w:tr>
      <w:tr>
        <w:tblPrEx>
          <w:tblCellMar>
            <w:top w:w="0" w:type="dxa"/>
            <w:left w:w="108" w:type="dxa"/>
            <w:bottom w:w="0" w:type="dxa"/>
            <w:right w:w="108" w:type="dxa"/>
          </w:tblCellMar>
        </w:tblPrEx>
        <w:trPr>
          <w:trHeight w:val="510" w:hRule="atLeast"/>
        </w:trPr>
        <w:tc>
          <w:tcPr>
            <w:tcW w:w="9580" w:type="dxa"/>
            <w:gridSpan w:val="4"/>
            <w:tcBorders>
              <w:top w:val="nil"/>
              <w:left w:val="single" w:color="auto" w:sz="4" w:space="0"/>
              <w:bottom w:val="single" w:color="auto" w:sz="4" w:space="0"/>
              <w:right w:val="single" w:color="000000" w:sz="4" w:space="0"/>
            </w:tcBorders>
            <w:noWrap/>
            <w:vAlign w:val="center"/>
          </w:tcPr>
          <w:p>
            <w:pPr>
              <w:widowControl/>
              <w:jc w:val="left"/>
              <w:rPr>
                <w:rFonts w:ascii="Arial" w:hAnsi="Arial" w:cs="Arial"/>
                <w:b/>
                <w:bCs/>
                <w:kern w:val="0"/>
                <w:sz w:val="20"/>
                <w:szCs w:val="20"/>
              </w:rPr>
            </w:pPr>
            <w:r>
              <w:rPr>
                <w:rFonts w:ascii="Arial" w:hAnsi="Arial" w:cs="Arial"/>
                <w:b/>
                <w:bCs/>
                <w:kern w:val="0"/>
                <w:sz w:val="20"/>
                <w:szCs w:val="20"/>
              </w:rPr>
              <w:t xml:space="preserve">      2</w:t>
            </w:r>
            <w:r>
              <w:rPr>
                <w:rFonts w:hint="eastAsia" w:ascii="宋体" w:hAnsi="宋体" w:cs="Arial"/>
                <w:b/>
                <w:bCs/>
                <w:kern w:val="0"/>
                <w:sz w:val="20"/>
                <w:szCs w:val="20"/>
              </w:rPr>
              <w:t>、</w:t>
            </w:r>
            <w:r>
              <w:rPr>
                <w:rFonts w:ascii="Arial" w:hAnsi="Arial" w:cs="Arial"/>
                <w:b/>
                <w:bCs/>
                <w:kern w:val="0"/>
                <w:sz w:val="20"/>
                <w:szCs w:val="20"/>
              </w:rPr>
              <w:t>D=A+B+C</w:t>
            </w:r>
          </w:p>
        </w:tc>
      </w:tr>
    </w:tbl>
    <w:p>
      <w:pPr>
        <w:ind w:firstLine="636"/>
        <w:rPr>
          <w:rFonts w:ascii="仿宋_GB2312" w:hAnsi="楷体" w:eastAsia="仿宋_GB2312"/>
          <w:b/>
          <w:sz w:val="32"/>
          <w:szCs w:val="32"/>
        </w:rPr>
      </w:pPr>
    </w:p>
    <w:p>
      <w:pPr>
        <w:ind w:firstLine="636"/>
        <w:rPr>
          <w:rFonts w:ascii="仿宋_GB2312" w:hAnsi="仿宋" w:eastAsia="仿宋_GB2312"/>
          <w:kern w:val="0"/>
          <w:sz w:val="32"/>
          <w:szCs w:val="32"/>
        </w:rPr>
      </w:pPr>
      <w:r>
        <w:rPr>
          <w:rFonts w:hint="eastAsia" w:ascii="仿宋_GB2312" w:hAnsi="仿宋" w:eastAsia="仿宋_GB2312"/>
          <w:kern w:val="0"/>
          <w:sz w:val="32"/>
          <w:szCs w:val="32"/>
        </w:rPr>
        <w:t>我单位2019年度固定资产总额为2953980元，其中车辆资产为417800元，比上年（增加/减少）0元，比上年（增加/减少）原因**；房屋资产为0元，比上年（增加/减少）0元，比上年（增加/减少）原因** ；其他固定资产比上年增加246945元，比上年增加原因机构改革办公设备增加，新购会议室桌椅、视频一套。</w:t>
      </w:r>
    </w:p>
    <w:p>
      <w:pPr>
        <w:ind w:firstLine="636"/>
        <w:rPr>
          <w:rFonts w:ascii="仿宋_GB2312" w:hAnsi="楷体" w:eastAsia="仿宋_GB2312"/>
          <w:b/>
          <w:sz w:val="32"/>
          <w:szCs w:val="32"/>
        </w:rPr>
      </w:pPr>
      <w:r>
        <w:rPr>
          <w:rFonts w:hint="eastAsia" w:ascii="仿宋_GB2312" w:hAnsi="楷体" w:eastAsia="仿宋_GB2312"/>
          <w:b/>
          <w:sz w:val="32"/>
          <w:szCs w:val="32"/>
        </w:rPr>
        <w:t>七、其他说明（各单位可根据本单位实际情况进行说明）</w:t>
      </w:r>
    </w:p>
    <w:p>
      <w:pPr>
        <w:ind w:firstLine="636"/>
        <w:rPr>
          <w:rFonts w:ascii="仿宋_GB2312" w:hAnsi="仿宋" w:eastAsia="仿宋_GB2312"/>
          <w:sz w:val="32"/>
          <w:szCs w:val="32"/>
        </w:rPr>
      </w:pPr>
      <w:r>
        <w:rPr>
          <w:rFonts w:hint="eastAsia" w:ascii="仿宋_GB2312" w:hAnsi="仿宋" w:eastAsia="仿宋_GB2312"/>
          <w:sz w:val="32"/>
          <w:szCs w:val="32"/>
        </w:rPr>
        <w:t>（一）政府购买服务情况说明</w:t>
      </w:r>
    </w:p>
    <w:p>
      <w:pPr>
        <w:ind w:firstLine="636"/>
        <w:rPr>
          <w:rFonts w:ascii="仿宋_GB2312" w:hAnsi="仿宋" w:eastAsia="仿宋_GB2312"/>
          <w:sz w:val="32"/>
          <w:szCs w:val="32"/>
        </w:rPr>
      </w:pPr>
      <w:r>
        <w:rPr>
          <w:rFonts w:hint="eastAsia" w:ascii="仿宋_GB2312" w:hAnsi="仿宋" w:eastAsia="仿宋_GB2312"/>
          <w:sz w:val="32"/>
          <w:szCs w:val="32"/>
        </w:rPr>
        <w:t>我单位</w:t>
      </w:r>
      <w:r>
        <w:rPr>
          <w:rFonts w:hint="eastAsia" w:ascii="仿宋_GB2312" w:hAnsi="黑体" w:eastAsia="仿宋_GB2312"/>
          <w:sz w:val="32"/>
          <w:szCs w:val="32"/>
        </w:rPr>
        <w:t>没有政府采购情况。</w:t>
      </w:r>
    </w:p>
    <w:p>
      <w:pPr>
        <w:numPr>
          <w:ilvl w:val="0"/>
          <w:numId w:val="2"/>
        </w:numPr>
        <w:ind w:firstLine="636"/>
        <w:rPr>
          <w:rFonts w:ascii="仿宋_GB2312" w:hAnsi="黑体" w:eastAsia="仿宋_GB2312"/>
          <w:sz w:val="32"/>
          <w:szCs w:val="32"/>
        </w:rPr>
      </w:pPr>
      <w:r>
        <w:rPr>
          <w:rFonts w:hint="eastAsia" w:ascii="仿宋_GB2312" w:hAnsi="仿宋" w:eastAsia="仿宋_GB2312"/>
          <w:sz w:val="32"/>
          <w:szCs w:val="32"/>
        </w:rPr>
        <w:t>单位往来款情况</w:t>
      </w:r>
      <w:r>
        <w:rPr>
          <w:rFonts w:hint="eastAsia" w:ascii="仿宋_GB2312" w:hAnsi="楷体" w:eastAsia="仿宋_GB2312"/>
          <w:b/>
          <w:sz w:val="32"/>
          <w:szCs w:val="32"/>
        </w:rPr>
        <w:t>（参照决算CS08表资产负债简表）</w:t>
      </w:r>
    </w:p>
    <w:p>
      <w:pPr>
        <w:ind w:firstLine="640" w:firstLineChars="200"/>
        <w:rPr>
          <w:rFonts w:ascii="仿宋_GB2312" w:hAnsi="黑体" w:eastAsia="仿宋_GB2312"/>
          <w:sz w:val="32"/>
          <w:szCs w:val="32"/>
        </w:rPr>
      </w:pPr>
      <w:r>
        <w:rPr>
          <w:rFonts w:hint="eastAsia" w:ascii="仿宋_GB2312" w:hAnsi="黑体" w:eastAsia="仿宋_GB2312"/>
          <w:sz w:val="32"/>
          <w:szCs w:val="32"/>
        </w:rPr>
        <w:t>我单位无</w:t>
      </w:r>
      <w:r>
        <w:rPr>
          <w:rFonts w:hint="eastAsia" w:ascii="仿宋_GB2312" w:hAnsi="仿宋" w:eastAsia="仿宋_GB2312"/>
          <w:sz w:val="32"/>
          <w:szCs w:val="32"/>
        </w:rPr>
        <w:t>单位往来款情况</w:t>
      </w:r>
      <w:r>
        <w:rPr>
          <w:rFonts w:hint="eastAsia" w:ascii="仿宋_GB2312" w:hAnsi="黑体" w:eastAsia="仿宋_GB2312"/>
          <w:sz w:val="32"/>
          <w:szCs w:val="32"/>
        </w:rPr>
        <w:t>的部门</w:t>
      </w:r>
    </w:p>
    <w:p>
      <w:pPr>
        <w:ind w:firstLine="640" w:firstLineChars="200"/>
        <w:rPr>
          <w:rFonts w:ascii="仿宋_GB2312" w:hAnsi="仿宋" w:eastAsia="仿宋_GB2312"/>
          <w:sz w:val="32"/>
          <w:szCs w:val="32"/>
        </w:rPr>
      </w:pPr>
      <w:r>
        <w:rPr>
          <w:rFonts w:hint="eastAsia" w:ascii="仿宋_GB2312" w:hAnsi="仿宋" w:eastAsia="仿宋_GB2312"/>
          <w:sz w:val="32"/>
          <w:szCs w:val="32"/>
        </w:rPr>
        <w:t>（三）其他  无</w:t>
      </w:r>
    </w:p>
    <w:p>
      <w:pPr>
        <w:rPr>
          <w:rFonts w:ascii="黑体" w:hAnsi="黑体" w:eastAsia="黑体"/>
          <w:sz w:val="32"/>
          <w:szCs w:val="32"/>
        </w:rPr>
      </w:pPr>
      <w:r>
        <w:rPr>
          <w:rFonts w:hint="eastAsia" w:ascii="黑体" w:hAnsi="黑体" w:eastAsia="黑体"/>
          <w:sz w:val="32"/>
          <w:szCs w:val="32"/>
        </w:rPr>
        <w:t>第四部分  名词解释</w:t>
      </w:r>
    </w:p>
    <w:p>
      <w:pPr>
        <w:rPr>
          <w:rFonts w:ascii="仿宋_GB2312" w:hAnsi="仿宋" w:eastAsia="仿宋_GB2312"/>
          <w:sz w:val="32"/>
          <w:szCs w:val="32"/>
        </w:rPr>
      </w:pPr>
      <w:r>
        <w:rPr>
          <w:rFonts w:hint="eastAsia" w:ascii="仿宋_GB2312" w:hAnsi="仿宋" w:eastAsia="仿宋_GB2312"/>
          <w:sz w:val="32"/>
          <w:szCs w:val="32"/>
        </w:rPr>
        <w:t xml:space="preserve">    【说明：本项为必须公开内容，可解释本部门决算特有的较为专业的名词，或是财政决算编制方面名词（以下名词解释仅供参考，各部门单位可以根据实际情况自行增加）】</w:t>
      </w:r>
    </w:p>
    <w:p>
      <w:pPr>
        <w:autoSpaceDE w:val="0"/>
        <w:autoSpaceDN w:val="0"/>
        <w:adjustRightInd w:val="0"/>
        <w:ind w:firstLine="643" w:firstLineChars="200"/>
        <w:rPr>
          <w:rFonts w:ascii="仿宋_GB2312" w:hAnsi="仿宋" w:eastAsia="仿宋_GB2312"/>
          <w:sz w:val="32"/>
          <w:szCs w:val="32"/>
        </w:rPr>
      </w:pPr>
      <w:r>
        <w:rPr>
          <w:rFonts w:hint="eastAsia" w:ascii="仿宋_GB2312" w:hAnsi="楷体" w:eastAsia="仿宋_GB2312"/>
          <w:b/>
          <w:sz w:val="32"/>
          <w:szCs w:val="32"/>
        </w:rPr>
        <w:t>一、基本支出</w:t>
      </w:r>
      <w:r>
        <w:rPr>
          <w:rFonts w:hint="eastAsia" w:ascii="仿宋_GB2312" w:hAnsi="仿宋" w:eastAsia="仿宋_GB2312"/>
          <w:sz w:val="32"/>
          <w:szCs w:val="32"/>
        </w:rPr>
        <w:t>：指为保障机构正常运转、完成日常</w:t>
      </w:r>
    </w:p>
    <w:p>
      <w:pPr>
        <w:autoSpaceDE w:val="0"/>
        <w:autoSpaceDN w:val="0"/>
        <w:adjustRightInd w:val="0"/>
        <w:rPr>
          <w:rFonts w:ascii="仿宋_GB2312" w:hAnsi="仿宋" w:eastAsia="仿宋_GB2312"/>
          <w:sz w:val="32"/>
          <w:szCs w:val="32"/>
        </w:rPr>
      </w:pPr>
      <w:r>
        <w:rPr>
          <w:rFonts w:hint="eastAsia" w:ascii="仿宋_GB2312" w:hAnsi="仿宋" w:eastAsia="仿宋_GB2312"/>
          <w:sz w:val="32"/>
          <w:szCs w:val="32"/>
        </w:rPr>
        <w:t>工作任务而发生的人员支出和公用支出。</w:t>
      </w:r>
    </w:p>
    <w:p>
      <w:pPr>
        <w:autoSpaceDE w:val="0"/>
        <w:autoSpaceDN w:val="0"/>
        <w:adjustRightInd w:val="0"/>
        <w:ind w:firstLine="643" w:firstLineChars="200"/>
        <w:rPr>
          <w:rFonts w:ascii="仿宋_GB2312" w:hAnsi="仿宋" w:eastAsia="仿宋_GB2312"/>
          <w:sz w:val="32"/>
          <w:szCs w:val="32"/>
        </w:rPr>
      </w:pPr>
      <w:r>
        <w:rPr>
          <w:rFonts w:hint="eastAsia" w:ascii="仿宋_GB2312" w:hAnsi="楷体" w:eastAsia="仿宋_GB2312"/>
          <w:b/>
          <w:sz w:val="32"/>
          <w:szCs w:val="32"/>
        </w:rPr>
        <w:t>二、项目支出</w:t>
      </w:r>
      <w:r>
        <w:rPr>
          <w:rFonts w:hint="eastAsia" w:ascii="仿宋_GB2312" w:hAnsi="仿宋" w:eastAsia="仿宋_GB2312"/>
          <w:sz w:val="32"/>
          <w:szCs w:val="32"/>
        </w:rPr>
        <w:t>：指在基本支出之外为完成特定行政任</w:t>
      </w:r>
    </w:p>
    <w:p>
      <w:pPr>
        <w:rPr>
          <w:rFonts w:ascii="仿宋_GB2312" w:hAnsi="仿宋" w:eastAsia="仿宋_GB2312"/>
          <w:sz w:val="32"/>
          <w:szCs w:val="32"/>
        </w:rPr>
      </w:pPr>
      <w:r>
        <w:rPr>
          <w:rFonts w:hint="eastAsia" w:ascii="仿宋_GB2312" w:hAnsi="仿宋" w:eastAsia="仿宋_GB2312"/>
          <w:sz w:val="32"/>
          <w:szCs w:val="32"/>
        </w:rPr>
        <w:t>务和事业发展目标所发生的支出。</w:t>
      </w:r>
    </w:p>
    <w:p>
      <w:pPr>
        <w:autoSpaceDE w:val="0"/>
        <w:autoSpaceDN w:val="0"/>
        <w:adjustRightInd w:val="0"/>
        <w:ind w:firstLine="643" w:firstLineChars="200"/>
        <w:rPr>
          <w:rFonts w:ascii="仿宋_GB2312" w:hAnsi="仿宋" w:eastAsia="仿宋_GB2312"/>
          <w:sz w:val="32"/>
          <w:szCs w:val="32"/>
        </w:rPr>
      </w:pPr>
      <w:r>
        <w:rPr>
          <w:rFonts w:hint="eastAsia" w:ascii="仿宋_GB2312" w:hAnsi="楷体" w:eastAsia="仿宋_GB2312"/>
          <w:b/>
          <w:sz w:val="32"/>
          <w:szCs w:val="32"/>
        </w:rPr>
        <w:t>三、“三公”经费</w:t>
      </w:r>
      <w:r>
        <w:rPr>
          <w:rFonts w:hint="eastAsia" w:ascii="仿宋_GB2312" w:hAnsi="仿宋" w:eastAsia="仿宋_GB2312"/>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3" w:firstLineChars="200"/>
        <w:rPr>
          <w:rFonts w:ascii="仿宋_GB2312" w:hAnsi="仿宋" w:eastAsia="仿宋_GB2312"/>
          <w:sz w:val="32"/>
          <w:szCs w:val="32"/>
        </w:rPr>
      </w:pPr>
      <w:r>
        <w:rPr>
          <w:rFonts w:hint="eastAsia" w:ascii="仿宋_GB2312" w:hAnsi="楷体" w:eastAsia="仿宋_GB2312"/>
          <w:b/>
          <w:sz w:val="32"/>
          <w:szCs w:val="32"/>
        </w:rPr>
        <w:t>四、机关运行经费</w:t>
      </w:r>
      <w:r>
        <w:rPr>
          <w:rFonts w:hint="eastAsia" w:ascii="仿宋_GB2312" w:hAnsi="仿宋" w:eastAsia="仿宋_GB2312"/>
          <w:sz w:val="32"/>
          <w:szCs w:val="32"/>
        </w:rPr>
        <w:t>：指行政单位和参照公务员法管理的事业单位使用一般公共预算安排的基本支出中的日常公用经费支出。</w:t>
      </w:r>
    </w:p>
    <w:p>
      <w:pPr>
        <w:autoSpaceDE w:val="0"/>
        <w:autoSpaceDN w:val="0"/>
        <w:adjustRightInd w:val="0"/>
        <w:ind w:firstLine="643" w:firstLineChars="200"/>
        <w:rPr>
          <w:rFonts w:ascii="仿宋_GB2312" w:hAnsi="仿宋" w:eastAsia="仿宋_GB2312"/>
          <w:sz w:val="32"/>
          <w:szCs w:val="32"/>
        </w:rPr>
      </w:pPr>
      <w:r>
        <w:rPr>
          <w:rFonts w:hint="eastAsia" w:ascii="仿宋_GB2312" w:hAnsi="楷体" w:eastAsia="仿宋_GB2312"/>
          <w:b/>
          <w:sz w:val="32"/>
          <w:szCs w:val="32"/>
        </w:rPr>
        <w:t>五、政府购买服务</w:t>
      </w:r>
      <w:r>
        <w:rPr>
          <w:rFonts w:hint="eastAsia" w:ascii="仿宋_GB2312" w:hAnsi="仿宋" w:eastAsia="仿宋_GB2312"/>
          <w:sz w:val="32"/>
          <w:szCs w:val="32"/>
        </w:rPr>
        <w:t>：根据我国现行政策规定，政府购买服务，是指政府按照一定的方式和程序，把属于政府职责范围且适合通过市场化方式提供的服务事项，交由符合条件的社会力量和事业单位承担，并根据服务数量和质量等向其支付费用的行为。政府购买服务是一种契约化的公共服务提供方式，具有权责清晰、结果导向、灵活高效等特点。</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2DEFBA"/>
    <w:multiLevelType w:val="singleLevel"/>
    <w:tmpl w:val="1F2DEFBA"/>
    <w:lvl w:ilvl="0" w:tentative="0">
      <w:start w:val="2"/>
      <w:numFmt w:val="chineseCounting"/>
      <w:suff w:val="space"/>
      <w:lvlText w:val="（%1）"/>
      <w:lvlJc w:val="left"/>
      <w:rPr>
        <w:rFonts w:hint="eastAsia"/>
      </w:rPr>
    </w:lvl>
  </w:abstractNum>
  <w:abstractNum w:abstractNumId="1">
    <w:nsid w:val="4E037AAE"/>
    <w:multiLevelType w:val="singleLevel"/>
    <w:tmpl w:val="4E037AAE"/>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BjOGJiMWFhMTkzMjM0NjY3NTE4OGMyZjllMTk2ZmYifQ=="/>
  </w:docVars>
  <w:rsids>
    <w:rsidRoot w:val="1A126556"/>
    <w:rsid w:val="00267E7B"/>
    <w:rsid w:val="005B650E"/>
    <w:rsid w:val="009864FE"/>
    <w:rsid w:val="00F50782"/>
    <w:rsid w:val="00F7689B"/>
    <w:rsid w:val="00FD0C47"/>
    <w:rsid w:val="0C155718"/>
    <w:rsid w:val="1A126556"/>
    <w:rsid w:val="2B0E0F4E"/>
    <w:rsid w:val="2C0C6063"/>
    <w:rsid w:val="33B2482B"/>
    <w:rsid w:val="42E844E0"/>
    <w:rsid w:val="5053535C"/>
    <w:rsid w:val="5185140A"/>
    <w:rsid w:val="576C42B2"/>
    <w:rsid w:val="5E6C341C"/>
    <w:rsid w:val="722A0DD2"/>
    <w:rsid w:val="7F4E3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6">
    <w:name w:val="No Spacing"/>
    <w:qFormat/>
    <w:uiPriority w:val="99"/>
    <w:pPr>
      <w:ind w:firstLine="200" w:firstLineChars="200"/>
    </w:pPr>
    <w:rPr>
      <w:rFonts w:ascii="Calibri" w:hAnsi="Calibri" w:eastAsia="仿宋_GB2312" w:cs="Times New Roman"/>
      <w:sz w:val="30"/>
      <w:szCs w:val="22"/>
      <w:lang w:val="en-US" w:eastAsia="zh-CN" w:bidi="ar-SA"/>
    </w:rPr>
  </w:style>
  <w:style w:type="paragraph" w:customStyle="1" w:styleId="7">
    <w:name w:val="无间隔1"/>
    <w:qFormat/>
    <w:uiPriority w:val="0"/>
    <w:pPr>
      <w:ind w:firstLine="200" w:firstLineChars="200"/>
    </w:pPr>
    <w:rPr>
      <w:rFonts w:ascii="Calibri" w:hAnsi="Calibri" w:eastAsia="仿宋_GB2312" w:cs="Times New Roman"/>
      <w:sz w:val="30"/>
      <w:szCs w:val="22"/>
      <w:lang w:val="en-US" w:eastAsia="zh-CN" w:bidi="ar-SA"/>
    </w:rPr>
  </w:style>
  <w:style w:type="character" w:customStyle="1" w:styleId="8">
    <w:name w:val="页眉 Char"/>
    <w:basedOn w:val="5"/>
    <w:link w:val="3"/>
    <w:qFormat/>
    <w:uiPriority w:val="0"/>
    <w:rPr>
      <w:rFonts w:ascii="Calibri" w:hAnsi="Calibri"/>
      <w:kern w:val="2"/>
      <w:sz w:val="18"/>
      <w:szCs w:val="18"/>
    </w:rPr>
  </w:style>
  <w:style w:type="character" w:customStyle="1" w:styleId="9">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5095</Words>
  <Characters>5648</Characters>
  <Lines>42</Lines>
  <Paragraphs>11</Paragraphs>
  <TotalTime>3</TotalTime>
  <ScaleCrop>false</ScaleCrop>
  <LinksUpToDate>false</LinksUpToDate>
  <CharactersWithSpaces>5763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2020-03-31T00:45:00Z</dcterms:created>
  <dc:creator>风向标</dc:creator>
  <cp:lastModifiedBy>Administrator</cp:lastModifiedBy>
  <dcterms:modified xsi:type="dcterms:W3CDTF">2024-07-17T02:42:43Z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AE1FDF5E568845F9B921C922E7F0DF22_12</vt:lpwstr>
  </property>
</Properties>
</file>