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sz w:val="32"/>
          <w:szCs w:val="32"/>
        </w:rPr>
      </w:pPr>
    </w:p>
    <w:p>
      <w:pPr>
        <w:jc w:val="center"/>
        <w:rPr>
          <w:rFonts w:ascii="华文中宋" w:hAnsi="华文中宋" w:eastAsia="华文中宋"/>
          <w:sz w:val="44"/>
          <w:szCs w:val="44"/>
        </w:rPr>
      </w:pPr>
      <w:r>
        <w:rPr>
          <w:rFonts w:hint="eastAsia" w:ascii="华文中宋" w:hAnsi="华文中宋" w:eastAsia="华文中宋"/>
          <w:sz w:val="44"/>
          <w:szCs w:val="44"/>
        </w:rPr>
        <w:t>平顺县市场和质量监督管理局</w:t>
      </w:r>
    </w:p>
    <w:p>
      <w:pPr>
        <w:jc w:val="center"/>
        <w:rPr>
          <w:rFonts w:ascii="华文中宋" w:hAnsi="华文中宋" w:eastAsia="华文中宋"/>
          <w:sz w:val="44"/>
          <w:szCs w:val="44"/>
        </w:rPr>
      </w:pPr>
      <w:r>
        <w:rPr>
          <w:rFonts w:hint="eastAsia" w:ascii="华文中宋" w:hAnsi="华文中宋" w:eastAsia="华文中宋"/>
          <w:sz w:val="44"/>
          <w:szCs w:val="44"/>
        </w:rPr>
        <w:t>2019年度部门预算相关说明</w:t>
      </w:r>
    </w:p>
    <w:p>
      <w:pPr>
        <w:jc w:val="cente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第一部分  概况</w:t>
      </w:r>
    </w:p>
    <w:p>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 w:hAnsi="楷体" w:eastAsia="楷体"/>
          <w:sz w:val="32"/>
          <w:szCs w:val="32"/>
        </w:rPr>
        <w:t>本部门职责</w:t>
      </w:r>
    </w:p>
    <w:p>
      <w:pPr>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    平顺县市场和质量监督管理局属行政执法部门，主要负责各类企业、农民专业合作社及个体工商户主体准入，食品药品、特种设备安全监管、产品质量、商标、广告、合同、网络商品交易监管以及消费维权，非公党建等工作。</w:t>
      </w:r>
    </w:p>
    <w:p>
      <w:pPr>
        <w:ind w:firstLine="627" w:firstLineChars="196"/>
        <w:rPr>
          <w:rFonts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 w:hAnsi="楷体" w:eastAsia="楷体"/>
          <w:sz w:val="32"/>
          <w:szCs w:val="32"/>
        </w:rPr>
        <w:t>机构设置情况</w:t>
      </w:r>
    </w:p>
    <w:p>
      <w:pPr>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    1、人员编制：我单位目前共有人员编制116名（其中行政编制56名，其中行政工勤编制6名；事业编制60名），目前实有在职人员98名（行政在职人员44名、行政工勤6名、事业在职人员48名），退休人员36名。</w:t>
      </w:r>
    </w:p>
    <w:p>
      <w:pPr>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    2、内设机构：共17个，分别是：综合办公室、人事教育股、财务股、行政审批股、政策法规股、企业监督管理股、食品药品稽查队、市场质量稽查队、药品医疗器械监督管理股、质量综合监督管理股、市场规范监督管理股、经济检查股、应急办公室（食品安全委员会办公室）、党务办公室、12315投诉举报中心、检验测试所、非公工委办公室； </w:t>
      </w:r>
    </w:p>
    <w:p>
      <w:pPr>
        <w:ind w:firstLine="645"/>
        <w:rPr>
          <w:rFonts w:ascii="楷体_GB2312" w:hAnsi="楷体_GB2312" w:eastAsia="楷体_GB2312" w:cs="楷体_GB2312"/>
          <w:sz w:val="32"/>
          <w:szCs w:val="32"/>
        </w:rPr>
      </w:pPr>
      <w:r>
        <w:rPr>
          <w:rFonts w:hint="eastAsia" w:ascii="楷体_GB2312" w:hAnsi="楷体_GB2312" w:eastAsia="楷体_GB2312" w:cs="楷体_GB2312"/>
          <w:sz w:val="32"/>
          <w:szCs w:val="32"/>
        </w:rPr>
        <w:t>3、派出机构：按照县三定方案，我局派出机构3个，分别是：青羊、龙溪、石城市场和质量监督管理所。在机构改革中，原食药监局的4个事业派出机构（食药监管所）没有进行改革。改革组建后，县市场和质量监管局根据工作需要，在县政府核定的3个派出机构的基础上，整合原食药监局4个事业派出所，统筹设置了4个派出机构，统一更名为青羊市场和质量监督管理所、龙溪市场和质量监督管理所、石城市场和质量监督管理所、北社市场和质量监督管理所。</w:t>
      </w:r>
    </w:p>
    <w:p>
      <w:pPr>
        <w:ind w:firstLine="645"/>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 4、主管协会：共5个，分别是：平顺县个体劳动者协会、平顺县消费者协会、平顺县民营企业协会、平顺县质量检验协会。 </w:t>
      </w:r>
    </w:p>
    <w:p>
      <w:pPr>
        <w:rPr>
          <w:rFonts w:ascii="仿宋" w:hAnsi="仿宋" w:eastAsia="仿宋" w:cs="仿宋"/>
          <w:sz w:val="32"/>
          <w:szCs w:val="32"/>
        </w:rPr>
      </w:pPr>
    </w:p>
    <w:p>
      <w:pPr>
        <w:rPr>
          <w:rFonts w:ascii="仿宋" w:hAnsi="仿宋" w:eastAsia="仿宋" w:cs="仿宋"/>
          <w:sz w:val="32"/>
          <w:szCs w:val="32"/>
        </w:rPr>
      </w:pPr>
      <w:r>
        <w:rPr>
          <w:rFonts w:hint="eastAsia" w:ascii="黑体" w:hAnsi="黑体" w:eastAsia="黑体"/>
          <w:sz w:val="32"/>
          <w:szCs w:val="32"/>
        </w:rPr>
        <w:t>第二部分  20</w:t>
      </w:r>
      <w:r>
        <w:rPr>
          <w:rFonts w:hint="eastAsia" w:ascii="楷体_GB2312" w:hAnsi="楷体_GB2312" w:eastAsia="楷体_GB2312" w:cs="楷体_GB2312"/>
          <w:sz w:val="32"/>
          <w:szCs w:val="32"/>
        </w:rPr>
        <w:t>19</w:t>
      </w:r>
      <w:r>
        <w:rPr>
          <w:rFonts w:hint="eastAsia" w:ascii="黑体" w:hAnsi="黑体" w:eastAsia="黑体"/>
          <w:sz w:val="32"/>
          <w:szCs w:val="32"/>
        </w:rPr>
        <w:t>年度部门预算情况说明</w:t>
      </w:r>
    </w:p>
    <w:p>
      <w:pPr>
        <w:ind w:firstLine="636"/>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一、2019年度部门预算数据变动情况及原因</w:t>
      </w:r>
    </w:p>
    <w:p>
      <w:pPr>
        <w:spacing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部门预算报表</w:t>
      </w:r>
      <w:r>
        <w:rPr>
          <w:rFonts w:hint="eastAsia" w:ascii="仿宋" w:hAnsi="仿宋" w:eastAsia="仿宋" w:cs="仿宋"/>
          <w:sz w:val="32"/>
          <w:szCs w:val="32"/>
          <w:lang w:eastAsia="zh-CN"/>
        </w:rPr>
        <w:t>：</w:t>
      </w:r>
    </w:p>
    <w:p>
      <w:pPr>
        <w:pStyle w:val="9"/>
        <w:numPr>
          <w:ilvl w:val="0"/>
          <w:numId w:val="0"/>
        </w:numPr>
        <w:spacing w:line="520" w:lineRule="exact"/>
        <w:ind w:left="640" w:leftChars="0"/>
        <w:rPr>
          <w:rFonts w:hint="eastAsia" w:ascii="仿宋" w:hAnsi="仿宋" w:eastAsia="仿宋" w:cs="仿宋"/>
          <w:sz w:val="32"/>
          <w:szCs w:val="32"/>
        </w:rPr>
      </w:pPr>
      <w:r>
        <w:rPr>
          <w:rFonts w:hint="eastAsia" w:ascii="仿宋" w:hAnsi="仿宋" w:eastAsia="仿宋" w:cs="仿宋"/>
          <w:sz w:val="32"/>
          <w:szCs w:val="32"/>
          <w:lang w:eastAsia="zh-CN"/>
        </w:rPr>
        <w:t>表一、</w:t>
      </w:r>
      <w:r>
        <w:rPr>
          <w:rFonts w:hint="eastAsia" w:ascii="仿宋" w:hAnsi="仿宋" w:eastAsia="仿宋" w:cs="仿宋"/>
          <w:sz w:val="32"/>
          <w:szCs w:val="32"/>
        </w:rPr>
        <w:t>2019年预算收支总表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二、2019年预算收入总表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三、2019年预算支出总表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四、2019年一般公共预算支出预算表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五、2019年财政拨款收支总表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六、2019年一般公共预算支出预算表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七、2019年一般公共预算安排基本支出分经济类科目表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八、2019年政府性基金预算收入表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九、2019年一般公共预算支出预算表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表十</w:t>
      </w:r>
      <w:r>
        <w:rPr>
          <w:rFonts w:hint="eastAsia" w:ascii="仿宋" w:hAnsi="仿宋" w:eastAsia="仿宋" w:cs="仿宋"/>
          <w:sz w:val="32"/>
          <w:szCs w:val="32"/>
        </w:rPr>
        <w:t>、2019年三公经费预算表</w:t>
      </w:r>
    </w:p>
    <w:p>
      <w:pPr>
        <w:ind w:firstLine="636"/>
        <w:rPr>
          <w:rFonts w:hint="eastAsia" w:ascii="楷体_GB2312" w:hAnsi="楷体_GB2312" w:eastAsia="楷体_GB2312" w:cs="楷体_GB2312"/>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十</w:t>
      </w:r>
      <w:r>
        <w:rPr>
          <w:rFonts w:hint="eastAsia" w:ascii="仿宋" w:hAnsi="仿宋" w:eastAsia="仿宋" w:cs="仿宋"/>
          <w:sz w:val="32"/>
          <w:szCs w:val="32"/>
          <w:lang w:eastAsia="zh-CN"/>
        </w:rPr>
        <w:t>一</w:t>
      </w:r>
      <w:r>
        <w:rPr>
          <w:rFonts w:hint="eastAsia" w:ascii="仿宋" w:hAnsi="仿宋" w:eastAsia="仿宋" w:cs="仿宋"/>
          <w:sz w:val="32"/>
          <w:szCs w:val="32"/>
        </w:rPr>
        <w:t>、2019年机关运行经费预算财政拨款情况统计表</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2019年我局总预算收入1127.8万元，其中：一般公共预算资金1127.8万元。上年度1181.7万元，同比减少4.56%，变动原因主要是2018年我局行政人员中调出6人，减少了2019年预算收入。</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2019年度部门预算支出：1127.8万元，上年度预算支出1181.74万元，</w:t>
      </w:r>
      <w:r>
        <w:rPr>
          <w:rFonts w:hint="eastAsia" w:ascii="楷体" w:hAnsi="楷体" w:eastAsia="楷体"/>
          <w:sz w:val="32"/>
          <w:szCs w:val="32"/>
        </w:rPr>
        <w:t>较上年减少4.56%，变动原因主要是由于我部门减少6人，导致预算支出减少。</w:t>
      </w:r>
      <w:r>
        <w:rPr>
          <w:rFonts w:hint="eastAsia" w:ascii="楷体_GB2312" w:hAnsi="楷体_GB2312" w:eastAsia="楷体_GB2312" w:cs="楷体_GB2312"/>
          <w:sz w:val="32"/>
          <w:szCs w:val="32"/>
        </w:rPr>
        <w:t>其中：一般公共服务支出841.37万元，较上年减少6.08%，</w:t>
      </w:r>
      <w:r>
        <w:rPr>
          <w:rFonts w:hint="eastAsia" w:ascii="楷体" w:hAnsi="楷体" w:eastAsia="楷体"/>
          <w:sz w:val="32"/>
          <w:szCs w:val="32"/>
        </w:rPr>
        <w:t>变动原因主要是人员减少，导致人员工资减少</w:t>
      </w:r>
      <w:r>
        <w:rPr>
          <w:rFonts w:hint="eastAsia" w:ascii="楷体_GB2312" w:hAnsi="楷体_GB2312" w:eastAsia="楷体_GB2312" w:cs="楷体_GB2312"/>
          <w:sz w:val="32"/>
          <w:szCs w:val="32"/>
        </w:rPr>
        <w:t>；社会保障和就业支出152.12万元，较上年增加4.2%，原因为人员调资，养老保险缴费增加；医疗卫生与计划生育支出50.22万元，较上年52.32万元，降低4.01%，原因为人员调出，医疗保险缴费减少；住房保障支出81.10万元，较上年减少3.99% ，原因为人员调出，住房公积金缴费减少。</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二、“三公”经费增减变动原因说明  </w:t>
      </w:r>
    </w:p>
    <w:p>
      <w:pPr>
        <w:ind w:firstLine="636"/>
        <w:rPr>
          <w:rFonts w:hint="default" w:ascii="楷体_GB2312" w:hAnsi="楷体_GB2312" w:eastAsia="楷体_GB2312" w:cs="楷体_GB2312"/>
          <w:sz w:val="32"/>
          <w:szCs w:val="32"/>
          <w:shd w:val="clear" w:fill="FFFFFF" w:themeFill="background1"/>
          <w:lang w:val="en-US" w:eastAsia="zh-CN"/>
        </w:rPr>
      </w:pPr>
      <w:r>
        <w:rPr>
          <w:rFonts w:hint="eastAsia" w:ascii="楷体_GB2312" w:hAnsi="楷体_GB2312" w:eastAsia="楷体_GB2312" w:cs="楷体_GB2312"/>
          <w:sz w:val="32"/>
          <w:szCs w:val="32"/>
        </w:rPr>
        <w:t xml:space="preserve"> </w:t>
      </w:r>
      <w:r>
        <w:rPr>
          <w:rFonts w:hint="eastAsia" w:ascii="楷体_GB2312" w:hAnsi="楷体_GB2312" w:eastAsia="楷体_GB2312" w:cs="楷体_GB2312"/>
          <w:sz w:val="32"/>
          <w:szCs w:val="32"/>
          <w:shd w:val="clear" w:fill="FFFFFF" w:themeFill="background1"/>
        </w:rPr>
        <w:t>2019年我局“三公</w:t>
      </w:r>
      <w:bookmarkStart w:id="0" w:name="_GoBack"/>
      <w:r>
        <w:rPr>
          <w:rFonts w:hint="eastAsia" w:ascii="楷体_GB2312" w:hAnsi="楷体_GB2312" w:eastAsia="楷体_GB2312" w:cs="楷体_GB2312"/>
          <w:sz w:val="32"/>
          <w:szCs w:val="32"/>
          <w:shd w:val="clear" w:fill="FFFFFF" w:themeFill="background1"/>
        </w:rPr>
        <w:t>”</w:t>
      </w:r>
      <w:bookmarkEnd w:id="0"/>
      <w:r>
        <w:rPr>
          <w:rFonts w:hint="eastAsia" w:ascii="楷体_GB2312" w:hAnsi="楷体_GB2312" w:eastAsia="楷体_GB2312" w:cs="楷体_GB2312"/>
          <w:sz w:val="32"/>
          <w:szCs w:val="32"/>
          <w:shd w:val="clear" w:fill="FFFFFF" w:themeFill="background1"/>
        </w:rPr>
        <w:t>经费预算</w:t>
      </w:r>
      <w:r>
        <w:rPr>
          <w:rFonts w:hint="eastAsia" w:ascii="楷体_GB2312" w:hAnsi="楷体_GB2312" w:eastAsia="楷体_GB2312" w:cs="楷体_GB2312"/>
          <w:sz w:val="32"/>
          <w:szCs w:val="32"/>
          <w:shd w:val="clear" w:fill="FFFFFF" w:themeFill="background1"/>
          <w:lang w:val="en-US" w:eastAsia="zh-CN"/>
        </w:rPr>
        <w:t>0.75</w:t>
      </w:r>
      <w:r>
        <w:rPr>
          <w:rFonts w:hint="eastAsia" w:ascii="楷体_GB2312" w:hAnsi="楷体_GB2312" w:eastAsia="楷体_GB2312" w:cs="楷体_GB2312"/>
          <w:sz w:val="32"/>
          <w:szCs w:val="32"/>
          <w:shd w:val="clear" w:fill="FFFFFF" w:themeFill="background1"/>
        </w:rPr>
        <w:t>万元，</w:t>
      </w:r>
      <w:r>
        <w:rPr>
          <w:rFonts w:hint="eastAsia" w:ascii="楷体_GB2312" w:hAnsi="楷体_GB2312" w:eastAsia="楷体_GB2312" w:cs="楷体_GB2312"/>
          <w:sz w:val="32"/>
          <w:szCs w:val="32"/>
          <w:shd w:val="clear" w:fill="FFFFFF" w:themeFill="background1"/>
          <w:lang w:eastAsia="zh-CN"/>
        </w:rPr>
        <w:t>与</w:t>
      </w:r>
      <w:r>
        <w:rPr>
          <w:rFonts w:hint="eastAsia" w:ascii="楷体_GB2312" w:hAnsi="楷体_GB2312" w:eastAsia="楷体_GB2312" w:cs="楷体_GB2312"/>
          <w:sz w:val="32"/>
          <w:szCs w:val="32"/>
          <w:shd w:val="clear" w:fill="FFFFFF" w:themeFill="background1"/>
        </w:rPr>
        <w:t>2018年</w:t>
      </w:r>
      <w:r>
        <w:rPr>
          <w:rFonts w:hint="eastAsia" w:ascii="楷体_GB2312" w:hAnsi="楷体_GB2312" w:eastAsia="楷体_GB2312" w:cs="楷体_GB2312"/>
          <w:sz w:val="32"/>
          <w:szCs w:val="32"/>
          <w:shd w:val="clear" w:fill="FFFFFF" w:themeFill="background1"/>
          <w:lang w:eastAsia="zh-CN"/>
        </w:rPr>
        <w:t>相比减少</w:t>
      </w:r>
      <w:r>
        <w:rPr>
          <w:rFonts w:hint="eastAsia" w:ascii="楷体_GB2312" w:hAnsi="楷体_GB2312" w:eastAsia="楷体_GB2312" w:cs="楷体_GB2312"/>
          <w:sz w:val="32"/>
          <w:szCs w:val="32"/>
          <w:shd w:val="clear" w:fill="FFFFFF" w:themeFill="background1"/>
          <w:lang w:val="en-US" w:eastAsia="zh-CN"/>
        </w:rPr>
        <w:t>4.25万元。</w:t>
      </w:r>
      <w:r>
        <w:rPr>
          <w:rFonts w:hint="eastAsia" w:ascii="楷体_GB2312" w:hAnsi="楷体_GB2312" w:eastAsia="楷体_GB2312" w:cs="楷体_GB2312"/>
          <w:sz w:val="32"/>
          <w:szCs w:val="32"/>
          <w:shd w:val="clear" w:fill="FFFFFF" w:themeFill="background1"/>
          <w:lang w:eastAsia="zh-CN"/>
        </w:rPr>
        <w:t>其中：</w:t>
      </w:r>
      <w:r>
        <w:rPr>
          <w:rFonts w:hint="eastAsia" w:ascii="楷体_GB2312" w:hAnsi="楷体_GB2312" w:eastAsia="楷体_GB2312" w:cs="楷体_GB2312"/>
          <w:sz w:val="32"/>
          <w:szCs w:val="32"/>
          <w:shd w:val="clear" w:fill="FFFFFF" w:themeFill="background1"/>
          <w:lang w:val="en-US" w:eastAsia="zh-CN"/>
        </w:rPr>
        <w:t>1、因公出国出（境）费为0，与2018年相比无变动。2、公务接待费为0，与2018年相比无变动。3、公务用车费0.75万元，与2018年相比减少4.25万元（公务用车运行维护费0.75万元，与2018年相比减少4.25万元。公务用车购置费0，与2018年相比无变动）。原因：公务用车改革后我单位只保留一辆公务用车。</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三、机关运行经费增减变动原因说明</w:t>
      </w:r>
    </w:p>
    <w:p>
      <w:pPr>
        <w:ind w:firstLine="636"/>
        <w:rPr>
          <w:rFonts w:ascii="楷体_GB2312" w:hAnsi="楷体_GB2312" w:eastAsia="楷体_GB2312" w:cs="楷体_GB2312"/>
          <w:sz w:val="32"/>
          <w:szCs w:val="32"/>
        </w:rPr>
      </w:pPr>
      <w:r>
        <w:rPr>
          <w:rFonts w:hint="eastAsia" w:ascii="仿宋" w:hAnsi="仿宋" w:eastAsia="仿宋" w:cs="仿宋"/>
          <w:sz w:val="32"/>
          <w:szCs w:val="32"/>
        </w:rPr>
        <w:t>平</w:t>
      </w:r>
      <w:r>
        <w:rPr>
          <w:rFonts w:hint="eastAsia" w:ascii="楷体_GB2312" w:hAnsi="楷体_GB2312" w:eastAsia="楷体_GB2312" w:cs="楷体_GB2312"/>
          <w:sz w:val="32"/>
          <w:szCs w:val="32"/>
        </w:rPr>
        <w:t>顺县市场和质量监督管理局2019年机关运行经费财政拨款预算77.44万元，2018年行政机关运行经费71.60万元，比2018年预算增加5.84万元，增长8.16%,主要原因是新公务员的考入和事业人员的调入，导致机关运行经费增加。</w:t>
      </w:r>
    </w:p>
    <w:p>
      <w:pPr>
        <w:ind w:firstLine="636"/>
        <w:rPr>
          <w:rFonts w:ascii="仿宋" w:hAnsi="仿宋" w:eastAsia="仿宋" w:cs="仿宋"/>
          <w:sz w:val="32"/>
          <w:szCs w:val="32"/>
        </w:rPr>
      </w:pPr>
      <w:r>
        <w:rPr>
          <w:rFonts w:hint="eastAsia" w:ascii="楷体_GB2312" w:hAnsi="楷体_GB2312" w:eastAsia="楷体_GB2312" w:cs="楷体_GB2312"/>
          <w:sz w:val="32"/>
          <w:szCs w:val="32"/>
        </w:rPr>
        <w:t>四、其他说明</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（一）政府采购情况</w:t>
      </w:r>
    </w:p>
    <w:p>
      <w:pPr>
        <w:ind w:firstLine="636"/>
        <w:rPr>
          <w:rFonts w:ascii="楷体" w:hAnsi="楷体" w:eastAsia="楷体"/>
          <w:sz w:val="32"/>
          <w:szCs w:val="32"/>
        </w:rPr>
      </w:pPr>
      <w:r>
        <w:rPr>
          <w:rFonts w:hint="eastAsia" w:ascii="楷体" w:hAnsi="楷体" w:eastAsia="楷体"/>
          <w:sz w:val="32"/>
          <w:szCs w:val="32"/>
        </w:rPr>
        <w:t>2019年我局预算政府采购8万，其中：政府采购货物预算8万元。这部分采购资金没有从人头经费中扣除，所以在2019年当年预算没有体现。2020年我局要把政府采购预算资金从机关人员经费中列支，使政府采购置于阳光监督之下。</w:t>
      </w:r>
    </w:p>
    <w:p>
      <w:pPr>
        <w:numPr>
          <w:ilvl w:val="0"/>
          <w:numId w:val="1"/>
        </w:num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政府购买服务指导性目录</w:t>
      </w:r>
    </w:p>
    <w:p>
      <w:pPr>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    我部门没有此类项目。</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1.车辆情况：本局车改后仅留一辆公务用车，2018年购置一辆食品快检专用车。其它车辆全部上交公务用车平台。到目前为止我局帐面共有资金70.2万元。</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2.房屋情况：2015年5月本局机构改革后，机关全部搬迁在财政局新楼进行办公，只有原来的质监局楼由本局基层所占用，其它原有的办公场所全部由县机关事务局统一管理。这些办公场所合计办公面积2523.11平方米，价值215.72万元。</w:t>
      </w:r>
    </w:p>
    <w:p>
      <w:pPr>
        <w:ind w:firstLine="636"/>
        <w:rPr>
          <w:rFonts w:ascii="楷体_GB2312" w:hAnsi="楷体_GB2312" w:eastAsia="楷体_GB2312" w:cs="楷体_GB2312"/>
          <w:color w:val="FF0000"/>
          <w:sz w:val="32"/>
          <w:szCs w:val="32"/>
        </w:rPr>
      </w:pPr>
      <w:r>
        <w:rPr>
          <w:rFonts w:hint="eastAsia" w:ascii="楷体_GB2312" w:hAnsi="楷体_GB2312" w:eastAsia="楷体_GB2312" w:cs="楷体_GB2312"/>
          <w:sz w:val="32"/>
          <w:szCs w:val="32"/>
        </w:rPr>
        <w:t>3.其他国有资产占有使用情况：我单位其他国有资产占有230.7万元。</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（四）绩效管理情况</w:t>
      </w:r>
    </w:p>
    <w:p>
      <w:p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2019年我局没有绩效管理审批项目。</w:t>
      </w:r>
    </w:p>
    <w:p>
      <w:pPr>
        <w:numPr>
          <w:ilvl w:val="0"/>
          <w:numId w:val="2"/>
        </w:num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非税收入和基金执收情况</w:t>
      </w:r>
    </w:p>
    <w:p>
      <w:pPr>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    我部门无非税收入和政府性基金项目。</w:t>
      </w:r>
    </w:p>
    <w:p>
      <w:pPr>
        <w:numPr>
          <w:ilvl w:val="0"/>
          <w:numId w:val="2"/>
        </w:numPr>
        <w:ind w:firstLine="636"/>
        <w:rPr>
          <w:rFonts w:ascii="楷体_GB2312" w:hAnsi="楷体_GB2312" w:eastAsia="楷体_GB2312" w:cs="楷体_GB2312"/>
          <w:sz w:val="32"/>
          <w:szCs w:val="32"/>
        </w:rPr>
      </w:pPr>
      <w:r>
        <w:rPr>
          <w:rFonts w:hint="eastAsia" w:ascii="楷体_GB2312" w:hAnsi="楷体_GB2312" w:eastAsia="楷体_GB2312" w:cs="楷体_GB2312"/>
          <w:sz w:val="32"/>
          <w:szCs w:val="32"/>
        </w:rPr>
        <w:t>其他</w:t>
      </w:r>
    </w:p>
    <w:p>
      <w:pPr>
        <w:ind w:firstLine="636"/>
        <w:rPr>
          <w:rFonts w:ascii="仿宋" w:hAnsi="仿宋" w:eastAsia="仿宋" w:cs="仿宋"/>
          <w:sz w:val="32"/>
          <w:szCs w:val="32"/>
        </w:rPr>
      </w:pPr>
      <w:r>
        <w:rPr>
          <w:rFonts w:hint="eastAsia" w:ascii="楷体_GB2312" w:hAnsi="楷体_GB2312" w:eastAsia="楷体_GB2312" w:cs="楷体_GB2312"/>
          <w:sz w:val="32"/>
          <w:szCs w:val="32"/>
        </w:rPr>
        <w:t>我部门无其他需要说明的事项。</w:t>
      </w:r>
    </w:p>
    <w:p>
      <w:pPr>
        <w:rPr>
          <w:rFonts w:ascii="黑体" w:hAnsi="黑体" w:eastAsia="黑体"/>
          <w:sz w:val="32"/>
          <w:szCs w:val="32"/>
          <w:highlight w:val="red"/>
        </w:rPr>
      </w:pPr>
      <w:r>
        <w:rPr>
          <w:rFonts w:hint="eastAsia" w:ascii="黑体" w:hAnsi="黑体" w:eastAsia="黑体"/>
          <w:sz w:val="32"/>
          <w:szCs w:val="32"/>
        </w:rPr>
        <w:t>第三部分  名词解释</w:t>
      </w:r>
    </w:p>
    <w:p>
      <w:pPr>
        <w:autoSpaceDE w:val="0"/>
        <w:autoSpaceDN w:val="0"/>
        <w:adjustRightInd w:val="0"/>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（一）基本支出：指为保障机构正常运转、完成日常</w:t>
      </w:r>
    </w:p>
    <w:p>
      <w:pPr>
        <w:autoSpaceDE w:val="0"/>
        <w:autoSpaceDN w:val="0"/>
        <w:adjustRightInd w:val="0"/>
        <w:rPr>
          <w:rFonts w:ascii="楷体_GB2312" w:hAnsi="楷体_GB2312" w:eastAsia="楷体_GB2312" w:cs="楷体_GB2312"/>
          <w:sz w:val="32"/>
          <w:szCs w:val="32"/>
        </w:rPr>
      </w:pPr>
      <w:r>
        <w:rPr>
          <w:rFonts w:hint="eastAsia" w:ascii="楷体_GB2312" w:hAnsi="楷体_GB2312" w:eastAsia="楷体_GB2312" w:cs="楷体_GB2312"/>
          <w:sz w:val="32"/>
          <w:szCs w:val="32"/>
        </w:rPr>
        <w:t>工作任务而发生的人员支出和公用支出。</w:t>
      </w:r>
    </w:p>
    <w:p>
      <w:pPr>
        <w:autoSpaceDE w:val="0"/>
        <w:autoSpaceDN w:val="0"/>
        <w:adjustRightInd w:val="0"/>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（二）项目支出：指在基本支出之外为完成特定行政任</w:t>
      </w:r>
    </w:p>
    <w:p>
      <w:pPr>
        <w:rPr>
          <w:rFonts w:ascii="楷体_GB2312" w:hAnsi="楷体_GB2312" w:eastAsia="楷体_GB2312" w:cs="楷体_GB2312"/>
          <w:sz w:val="32"/>
          <w:szCs w:val="32"/>
        </w:rPr>
      </w:pPr>
      <w:r>
        <w:rPr>
          <w:rFonts w:hint="eastAsia" w:ascii="楷体_GB2312" w:hAnsi="楷体_GB2312" w:eastAsia="楷体_GB2312" w:cs="楷体_GB2312"/>
          <w:sz w:val="32"/>
          <w:szCs w:val="32"/>
        </w:rPr>
        <w:t>务和事业发展目标所发生的支出。</w:t>
      </w:r>
    </w:p>
    <w:p>
      <w:pPr>
        <w:autoSpaceDE w:val="0"/>
        <w:autoSpaceDN w:val="0"/>
        <w:adjustRightInd w:val="0"/>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三公”经费：指平顺县市场和质量监督管理局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（四）机关运行经费：指行政单位使用一般公共预算安排的基本支出中的日常公用经费支出。</w:t>
      </w:r>
    </w:p>
    <w:p>
      <w:pPr>
        <w:rPr>
          <w:rFonts w:ascii="仿宋" w:hAnsi="仿宋" w:eastAsia="仿宋" w:cs="仿宋"/>
          <w:sz w:val="32"/>
          <w:szCs w:val="32"/>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方正楷体_GBK"/>
    <w:panose1 w:val="00000000000000000000"/>
    <w:charset w:val="86"/>
    <w:family w:val="auto"/>
    <w:pitch w:val="default"/>
    <w:sig w:usb0="00000000" w:usb1="00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5</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D476BD"/>
    <w:multiLevelType w:val="singleLevel"/>
    <w:tmpl w:val="58D476BD"/>
    <w:lvl w:ilvl="0" w:tentative="0">
      <w:start w:val="5"/>
      <w:numFmt w:val="chineseCounting"/>
      <w:suff w:val="space"/>
      <w:lvlText w:val="（%1）"/>
      <w:lvlJc w:val="left"/>
    </w:lvl>
  </w:abstractNum>
  <w:abstractNum w:abstractNumId="1">
    <w:nsid w:val="60AE4582"/>
    <w:multiLevelType w:val="singleLevel"/>
    <w:tmpl w:val="60AE4582"/>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30361"/>
    <w:rsid w:val="00010720"/>
    <w:rsid w:val="00022383"/>
    <w:rsid w:val="000546DD"/>
    <w:rsid w:val="00071E66"/>
    <w:rsid w:val="00104877"/>
    <w:rsid w:val="00123F3F"/>
    <w:rsid w:val="001478AB"/>
    <w:rsid w:val="001F0D69"/>
    <w:rsid w:val="002D16E5"/>
    <w:rsid w:val="002E145A"/>
    <w:rsid w:val="002E19F4"/>
    <w:rsid w:val="00332350"/>
    <w:rsid w:val="00385BF3"/>
    <w:rsid w:val="004403ED"/>
    <w:rsid w:val="00530361"/>
    <w:rsid w:val="00552BFB"/>
    <w:rsid w:val="00575A54"/>
    <w:rsid w:val="005A4A17"/>
    <w:rsid w:val="005B2D61"/>
    <w:rsid w:val="005C07F9"/>
    <w:rsid w:val="00604DA5"/>
    <w:rsid w:val="0069691F"/>
    <w:rsid w:val="006A46BD"/>
    <w:rsid w:val="006C112A"/>
    <w:rsid w:val="006C6C04"/>
    <w:rsid w:val="00732B86"/>
    <w:rsid w:val="007E0685"/>
    <w:rsid w:val="007E3878"/>
    <w:rsid w:val="00853BC6"/>
    <w:rsid w:val="008A2E86"/>
    <w:rsid w:val="008A397E"/>
    <w:rsid w:val="008C2D6E"/>
    <w:rsid w:val="008E24FF"/>
    <w:rsid w:val="008F477C"/>
    <w:rsid w:val="009230BA"/>
    <w:rsid w:val="00927FEF"/>
    <w:rsid w:val="009C570F"/>
    <w:rsid w:val="00A665B7"/>
    <w:rsid w:val="00A76357"/>
    <w:rsid w:val="00A930A7"/>
    <w:rsid w:val="00AA7220"/>
    <w:rsid w:val="00AF4FFD"/>
    <w:rsid w:val="00BE370E"/>
    <w:rsid w:val="00C024CB"/>
    <w:rsid w:val="00C44EBA"/>
    <w:rsid w:val="00C63083"/>
    <w:rsid w:val="00D278F0"/>
    <w:rsid w:val="00D4765C"/>
    <w:rsid w:val="00D93F1D"/>
    <w:rsid w:val="00DC2761"/>
    <w:rsid w:val="00DF31C6"/>
    <w:rsid w:val="00E24128"/>
    <w:rsid w:val="00E313BE"/>
    <w:rsid w:val="00E43FC2"/>
    <w:rsid w:val="00EB461C"/>
    <w:rsid w:val="00ED30A1"/>
    <w:rsid w:val="00F1394A"/>
    <w:rsid w:val="073B57B2"/>
    <w:rsid w:val="0BF666A1"/>
    <w:rsid w:val="0C4424F0"/>
    <w:rsid w:val="0C51084A"/>
    <w:rsid w:val="10DD5A49"/>
    <w:rsid w:val="11652138"/>
    <w:rsid w:val="11A07AF8"/>
    <w:rsid w:val="1BD67F10"/>
    <w:rsid w:val="1C3C4C6E"/>
    <w:rsid w:val="1C6860F3"/>
    <w:rsid w:val="1EE36635"/>
    <w:rsid w:val="21BC0614"/>
    <w:rsid w:val="238B2016"/>
    <w:rsid w:val="2E73639B"/>
    <w:rsid w:val="31B23873"/>
    <w:rsid w:val="382A14BF"/>
    <w:rsid w:val="382A2FEE"/>
    <w:rsid w:val="409F2167"/>
    <w:rsid w:val="42FE3CD6"/>
    <w:rsid w:val="45B1478E"/>
    <w:rsid w:val="480926FD"/>
    <w:rsid w:val="4AF06C0D"/>
    <w:rsid w:val="4C397087"/>
    <w:rsid w:val="50532455"/>
    <w:rsid w:val="50A3699D"/>
    <w:rsid w:val="55540368"/>
    <w:rsid w:val="55B15847"/>
    <w:rsid w:val="563C0EEA"/>
    <w:rsid w:val="567D432A"/>
    <w:rsid w:val="57C67346"/>
    <w:rsid w:val="58CBE2B7"/>
    <w:rsid w:val="5ECC113F"/>
    <w:rsid w:val="62D01162"/>
    <w:rsid w:val="63A362A7"/>
    <w:rsid w:val="68222804"/>
    <w:rsid w:val="69197D3F"/>
    <w:rsid w:val="6B1A64DB"/>
    <w:rsid w:val="6BE65C63"/>
    <w:rsid w:val="6F337643"/>
    <w:rsid w:val="6F994A50"/>
    <w:rsid w:val="73E929F2"/>
    <w:rsid w:val="74FD1563"/>
    <w:rsid w:val="755B7E0A"/>
    <w:rsid w:val="76D756C5"/>
    <w:rsid w:val="7C79554D"/>
    <w:rsid w:val="7CCD17E3"/>
    <w:rsid w:val="7EC77B4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semiHidden/>
    <w:qFormat/>
    <w:uiPriority w:val="99"/>
    <w:rPr>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5</Pages>
  <Words>2031</Words>
  <Characters>260</Characters>
  <Lines>2</Lines>
  <Paragraphs>4</Paragraphs>
  <TotalTime>0</TotalTime>
  <ScaleCrop>false</ScaleCrop>
  <LinksUpToDate>false</LinksUpToDate>
  <CharactersWithSpaces>2287</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2017-01-16T22:14:00Z</dcterms:created>
  <dc:creator>郜汝敬 </dc:creator>
  <cp:lastModifiedBy>user</cp:lastModifiedBy>
  <cp:lastPrinted>2017-01-18T17:15:00Z</cp:lastPrinted>
  <dcterms:modified xsi:type="dcterms:W3CDTF">2024-05-24T16:32:08Z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3E7122ABE2FF4D769D3969D5444B1858</vt:lpwstr>
  </property>
</Properties>
</file>