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 w:cs="方正小标宋_GBK"/>
          <w:b w:val="0"/>
          <w:bCs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lang w:val="en-US" w:eastAsia="zh-CN"/>
        </w:rPr>
        <w:t>2019年政府决算公开相关说明</w:t>
      </w:r>
    </w:p>
    <w:p>
      <w:pPr>
        <w:ind w:firstLine="42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根据《财政部关于印发&lt;地方预决算公开操作规程&gt;的通知》（财预[2016]143号）文件精神，为方便社会公众对我县2020年政府预算的理解和监督，现将有关重要事项说明如下：</w:t>
      </w:r>
    </w:p>
    <w:p>
      <w:pPr>
        <w:numPr>
          <w:ilvl w:val="0"/>
          <w:numId w:val="1"/>
        </w:numPr>
        <w:ind w:firstLine="42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“三公”经费预算说明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2019年我县“三公”经费决算数701万元。其中公务接待费186万元；公务用车运行维护费515万元；公务出国出境两年均无；公务用车购置0万元。</w:t>
      </w:r>
    </w:p>
    <w:p>
      <w:pPr>
        <w:numPr>
          <w:ilvl w:val="0"/>
          <w:numId w:val="1"/>
        </w:numPr>
        <w:ind w:firstLine="42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财政转移支付安排情况说明</w:t>
      </w:r>
    </w:p>
    <w:p>
      <w:pPr>
        <w:numPr>
          <w:ilvl w:val="0"/>
          <w:numId w:val="0"/>
        </w:num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现行财政转移支付分为一般性转移支付和专项转移支付。一般性转移支付和专项转移支付各有特点。前者可以按照相关规定统筹安排和使用，后者能够体现上级政府政策导向，便于监督检查。</w:t>
      </w:r>
    </w:p>
    <w:p>
      <w:pPr>
        <w:numPr>
          <w:ilvl w:val="0"/>
          <w:numId w:val="0"/>
        </w:num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 xml:space="preserve"> 一般性转移支付主要包括均衡性转移支付、基本财力保障机制奖补资金、基层公检法司转移支付、城乡义务教育转移支付、基本养老金转移支付、城乡居民医疗保险转移支付、农村综合改革转移支付、重点生态功能区转移支付、固定数额补助等。</w:t>
      </w:r>
    </w:p>
    <w:p>
      <w:pPr>
        <w:numPr>
          <w:ilvl w:val="0"/>
          <w:numId w:val="0"/>
        </w:numPr>
        <w:ind w:firstLine="64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专项转移支付主要是根据党中央、国务院、省委、省政府和市委、市政府确定的政策，按照集中资金、突出重点、专款专用的要求，重点用于农林水、教育、医疗卫生、社会保障和就业、交通运输、节能环保等领域。</w:t>
      </w:r>
    </w:p>
    <w:p>
      <w:pPr>
        <w:numPr>
          <w:ilvl w:val="0"/>
          <w:numId w:val="1"/>
        </w:numPr>
        <w:ind w:firstLine="42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举借债务情况说明</w:t>
      </w:r>
    </w:p>
    <w:p>
      <w:pPr>
        <w:spacing w:beforeLines="0" w:afterLines="0"/>
        <w:ind w:firstLine="640" w:firstLineChars="200"/>
        <w:rPr>
          <w:rFonts w:hint="eastAsia" w:asci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</w:rPr>
        <w:t>我</w:t>
      </w:r>
      <w:r>
        <w:rPr>
          <w:rFonts w:hint="eastAsia" w:ascii="仿宋_GB2312" w:eastAsia="仿宋_GB2312"/>
          <w:color w:val="auto"/>
          <w:sz w:val="32"/>
          <w:lang w:eastAsia="zh-CN"/>
        </w:rPr>
        <w:t>县</w:t>
      </w:r>
      <w:r>
        <w:rPr>
          <w:rFonts w:hint="eastAsia" w:ascii="仿宋_GB2312" w:eastAsia="仿宋_GB2312"/>
          <w:color w:val="auto"/>
          <w:sz w:val="32"/>
        </w:rPr>
        <w:t>将坚决贯彻党中央关于“积极稳妥化解累积的地方政府债务风险，有效规范地方政府举债融资，坚决遏制隐性债务增量”的要求和财政部、省委省政府</w:t>
      </w:r>
      <w:r>
        <w:rPr>
          <w:rFonts w:hint="eastAsia" w:ascii="仿宋_GB2312" w:eastAsia="仿宋_GB2312"/>
          <w:color w:val="auto"/>
          <w:sz w:val="32"/>
          <w:lang w:eastAsia="zh-CN"/>
        </w:rPr>
        <w:t>和市委市政府</w:t>
      </w:r>
      <w:r>
        <w:rPr>
          <w:rFonts w:hint="eastAsia" w:ascii="仿宋_GB2312" w:eastAsia="仿宋_GB2312"/>
          <w:color w:val="auto"/>
          <w:sz w:val="32"/>
        </w:rPr>
        <w:t>的工作部署，加强政府债务风险防控，做到举债合规、程序透明、规模适度、风险可控。</w:t>
      </w:r>
      <w:r>
        <w:rPr>
          <w:rFonts w:hint="eastAsia" w:ascii="仿宋_GB2312" w:eastAsia="仿宋_GB2312"/>
          <w:sz w:val="32"/>
        </w:rPr>
        <w:t>截止201</w:t>
      </w:r>
      <w:r>
        <w:rPr>
          <w:rFonts w:hint="eastAsia" w:ascii="仿宋_GB2312" w:eastAsia="仿宋_GB2312"/>
          <w:sz w:val="32"/>
          <w:lang w:val="en-US" w:eastAsia="zh-CN"/>
        </w:rPr>
        <w:t>9</w:t>
      </w:r>
      <w:r>
        <w:rPr>
          <w:rFonts w:hint="eastAsia" w:ascii="仿宋_GB2312" w:eastAsia="仿宋_GB2312"/>
          <w:sz w:val="32"/>
        </w:rPr>
        <w:t>年底，</w:t>
      </w:r>
      <w:r>
        <w:rPr>
          <w:rFonts w:hint="eastAsia" w:ascii="仿宋_GB2312" w:hAnsi="宋体" w:eastAsia="仿宋_GB2312"/>
          <w:color w:val="auto"/>
          <w:kern w:val="0"/>
          <w:sz w:val="32"/>
        </w:rPr>
        <w:t>全</w:t>
      </w:r>
      <w:r>
        <w:rPr>
          <w:rFonts w:hint="eastAsia" w:ascii="仿宋_GB2312" w:hAnsi="宋体" w:eastAsia="仿宋_GB2312"/>
          <w:color w:val="auto"/>
          <w:kern w:val="0"/>
          <w:sz w:val="32"/>
          <w:lang w:eastAsia="zh-CN"/>
        </w:rPr>
        <w:t>县</w:t>
      </w:r>
      <w:r>
        <w:rPr>
          <w:rFonts w:hint="eastAsia" w:ascii="仿宋_GB2312" w:hAnsi="宋体" w:eastAsia="仿宋_GB2312"/>
          <w:color w:val="auto"/>
          <w:kern w:val="0"/>
          <w:sz w:val="32"/>
        </w:rPr>
        <w:t>政府性债务限额</w:t>
      </w:r>
      <w:r>
        <w:rPr>
          <w:rFonts w:hint="eastAsia" w:ascii="仿宋_GB2312" w:hAnsi="宋体" w:eastAsia="仿宋_GB2312"/>
          <w:color w:val="auto"/>
          <w:kern w:val="0"/>
          <w:sz w:val="32"/>
          <w:lang w:val="en-US" w:eastAsia="zh-CN"/>
        </w:rPr>
        <w:t>71295万元</w:t>
      </w:r>
      <w:r>
        <w:rPr>
          <w:rFonts w:hint="eastAsia" w:ascii="仿宋_GB2312" w:hAnsi="宋体" w:eastAsia="仿宋_GB2312"/>
          <w:color w:val="auto"/>
          <w:kern w:val="0"/>
          <w:sz w:val="32"/>
        </w:rPr>
        <w:t>，其中：一般债务限额</w:t>
      </w:r>
      <w:r>
        <w:rPr>
          <w:rFonts w:hint="eastAsia" w:ascii="仿宋_GB2312" w:hAnsi="宋体" w:eastAsia="仿宋_GB2312"/>
          <w:color w:val="auto"/>
          <w:kern w:val="0"/>
          <w:sz w:val="32"/>
          <w:lang w:val="en-US" w:eastAsia="zh-CN"/>
        </w:rPr>
        <w:t>39790万元</w:t>
      </w:r>
      <w:r>
        <w:rPr>
          <w:rFonts w:hint="eastAsia" w:ascii="仿宋_GB2312" w:hAnsi="宋体" w:eastAsia="仿宋_GB2312"/>
          <w:color w:val="auto"/>
          <w:kern w:val="0"/>
          <w:sz w:val="32"/>
        </w:rPr>
        <w:t>，专项债务限额</w:t>
      </w:r>
      <w:r>
        <w:rPr>
          <w:rFonts w:hint="eastAsia" w:ascii="仿宋_GB2312" w:hAnsi="宋体" w:eastAsia="仿宋_GB2312"/>
          <w:color w:val="auto"/>
          <w:kern w:val="0"/>
          <w:sz w:val="32"/>
          <w:lang w:val="en-US" w:eastAsia="zh-CN"/>
        </w:rPr>
        <w:t>31505万元</w:t>
      </w:r>
      <w:r>
        <w:rPr>
          <w:rFonts w:hint="eastAsia" w:ascii="仿宋_GB2312" w:hAnsi="宋体" w:eastAsia="仿宋_GB2312"/>
          <w:color w:val="auto"/>
          <w:kern w:val="0"/>
          <w:sz w:val="32"/>
        </w:rPr>
        <w:t>。</w:t>
      </w:r>
    </w:p>
    <w:p>
      <w:pPr>
        <w:autoSpaceDE/>
        <w:autoSpaceDN/>
        <w:adjustRightInd/>
        <w:jc w:val="both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lang w:val="zh-CN"/>
        </w:rPr>
        <w:t>我县加强政府债务管理采取的主要措施包括：</w:t>
      </w:r>
    </w:p>
    <w:p>
      <w:pPr>
        <w:spacing w:beforeLines="0" w:afterLines="0"/>
        <w:ind w:firstLine="640" w:firstLineChars="200"/>
        <w:rPr>
          <w:rFonts w:hint="default" w:ascii="仿宋_GB2312" w:hAns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</w:rPr>
        <w:t>一是补齐制度短板。201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</w:rPr>
        <w:t>年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5</w:t>
      </w:r>
      <w:r>
        <w:rPr>
          <w:rFonts w:hint="eastAsia" w:ascii="仿宋_GB2312" w:hAnsi="仿宋_GB2312" w:eastAsia="仿宋_GB2312"/>
          <w:color w:val="auto"/>
          <w:sz w:val="32"/>
        </w:rPr>
        <w:t>月份，我</w:t>
      </w:r>
      <w:r>
        <w:rPr>
          <w:rFonts w:hint="eastAsia" w:ascii="仿宋_GB2312" w:hAnsi="仿宋_GB2312" w:eastAsia="仿宋_GB2312"/>
          <w:color w:val="auto"/>
          <w:sz w:val="32"/>
          <w:lang w:eastAsia="zh-CN"/>
        </w:rPr>
        <w:t>县</w:t>
      </w:r>
      <w:r>
        <w:rPr>
          <w:rFonts w:hint="eastAsia" w:ascii="仿宋_GB2312" w:hAnsi="仿宋_GB2312" w:eastAsia="仿宋_GB2312"/>
          <w:color w:val="auto"/>
          <w:sz w:val="32"/>
        </w:rPr>
        <w:t>印发了</w:t>
      </w:r>
      <w:r>
        <w:rPr>
          <w:rFonts w:hint="eastAsia" w:ascii="仿宋_GB2312" w:eastAsia="仿宋_GB2312"/>
          <w:color w:val="auto"/>
          <w:sz w:val="32"/>
        </w:rPr>
        <w:t>《</w:t>
      </w:r>
      <w:r>
        <w:rPr>
          <w:rFonts w:hint="eastAsia" w:ascii="仿宋_GB2312" w:eastAsia="仿宋_GB2312"/>
          <w:color w:val="auto"/>
          <w:sz w:val="32"/>
          <w:lang w:eastAsia="zh-CN"/>
        </w:rPr>
        <w:t>平顺县</w:t>
      </w:r>
      <w:r>
        <w:rPr>
          <w:rFonts w:hint="eastAsia" w:ascii="仿宋_GB2312" w:eastAsia="仿宋_GB2312"/>
          <w:color w:val="auto"/>
          <w:sz w:val="32"/>
        </w:rPr>
        <w:t>人民政府关于</w:t>
      </w:r>
      <w:r>
        <w:rPr>
          <w:rFonts w:hint="eastAsia" w:ascii="仿宋_GB2312" w:eastAsia="仿宋_GB2312"/>
          <w:color w:val="auto"/>
          <w:sz w:val="32"/>
          <w:lang w:eastAsia="zh-CN"/>
        </w:rPr>
        <w:t>印发</w:t>
      </w:r>
      <w:r>
        <w:rPr>
          <w:rFonts w:hint="eastAsia" w:ascii="仿宋_GB2312" w:eastAsia="仿宋_GB2312"/>
          <w:color w:val="auto"/>
          <w:sz w:val="32"/>
        </w:rPr>
        <w:t>政府性债务管理</w:t>
      </w:r>
      <w:r>
        <w:rPr>
          <w:rFonts w:hint="eastAsia" w:ascii="仿宋_GB2312" w:eastAsia="仿宋_GB2312"/>
          <w:color w:val="auto"/>
          <w:sz w:val="32"/>
          <w:lang w:eastAsia="zh-CN"/>
        </w:rPr>
        <w:t>暂行办法</w:t>
      </w:r>
      <w:r>
        <w:rPr>
          <w:rFonts w:hint="eastAsia" w:ascii="仿宋_GB2312" w:eastAsia="仿宋_GB2312"/>
          <w:color w:val="auto"/>
          <w:sz w:val="32"/>
        </w:rPr>
        <w:t>的</w:t>
      </w:r>
      <w:r>
        <w:rPr>
          <w:rFonts w:hint="eastAsia" w:ascii="仿宋_GB2312" w:eastAsia="仿宋_GB2312"/>
          <w:color w:val="auto"/>
          <w:sz w:val="32"/>
          <w:lang w:eastAsia="zh-CN"/>
        </w:rPr>
        <w:t>通知</w:t>
      </w:r>
      <w:r>
        <w:rPr>
          <w:rFonts w:hint="eastAsia" w:ascii="仿宋_GB2312" w:eastAsia="仿宋_GB2312"/>
          <w:color w:val="auto"/>
          <w:sz w:val="32"/>
        </w:rPr>
        <w:t>》（</w:t>
      </w:r>
      <w:r>
        <w:rPr>
          <w:rFonts w:hint="eastAsia" w:ascii="仿宋_GB2312" w:eastAsia="仿宋_GB2312"/>
          <w:color w:val="auto"/>
          <w:sz w:val="32"/>
          <w:lang w:eastAsia="zh-CN"/>
        </w:rPr>
        <w:t>平</w:t>
      </w:r>
      <w:r>
        <w:rPr>
          <w:rFonts w:hint="eastAsia" w:ascii="仿宋_GB2312" w:eastAsia="仿宋_GB2312"/>
          <w:color w:val="auto"/>
          <w:sz w:val="32"/>
        </w:rPr>
        <w:t>政发[201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</w:rPr>
        <w:t>]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</w:rPr>
        <w:t>9号），</w:t>
      </w:r>
      <w:r>
        <w:rPr>
          <w:rFonts w:hint="eastAsia" w:ascii="仿宋_GB2312" w:hAnsi="仿宋_GB2312" w:eastAsia="仿宋_GB2312"/>
          <w:color w:val="auto"/>
          <w:sz w:val="32"/>
        </w:rPr>
        <w:t>从规范政府举债融资机制、债务资金举借、债务资金使用、债务资金偿还、存量债务化解、债务信息统计报告、债务风险预警和应急处置、监督与管理、责任追究等九个方面对我</w:t>
      </w:r>
      <w:r>
        <w:rPr>
          <w:rFonts w:hint="eastAsia" w:ascii="仿宋_GB2312" w:hAnsi="仿宋_GB2312" w:eastAsia="仿宋_GB2312"/>
          <w:color w:val="auto"/>
          <w:sz w:val="32"/>
          <w:lang w:eastAsia="zh-CN"/>
        </w:rPr>
        <w:t>县</w:t>
      </w:r>
      <w:r>
        <w:rPr>
          <w:rFonts w:hint="eastAsia" w:ascii="仿宋_GB2312" w:hAnsi="仿宋_GB2312" w:eastAsia="仿宋_GB2312"/>
          <w:color w:val="auto"/>
          <w:sz w:val="32"/>
        </w:rPr>
        <w:t>的地方政府性债务管理进行了规范，补齐了我</w:t>
      </w:r>
      <w:r>
        <w:rPr>
          <w:rFonts w:hint="eastAsia" w:ascii="仿宋_GB2312" w:hAnsi="仿宋_GB2312" w:eastAsia="仿宋_GB2312"/>
          <w:color w:val="auto"/>
          <w:sz w:val="32"/>
          <w:lang w:eastAsia="zh-CN"/>
        </w:rPr>
        <w:t>县</w:t>
      </w:r>
      <w:r>
        <w:rPr>
          <w:rFonts w:hint="eastAsia" w:ascii="仿宋_GB2312" w:hAnsi="仿宋_GB2312" w:eastAsia="仿宋_GB2312"/>
          <w:color w:val="auto"/>
          <w:sz w:val="32"/>
        </w:rPr>
        <w:t>债务管理的制度短板。</w:t>
      </w:r>
    </w:p>
    <w:p>
      <w:pPr>
        <w:spacing w:beforeLines="0" w:afterLines="0"/>
        <w:ind w:firstLine="640" w:firstLineChars="200"/>
        <w:rPr>
          <w:rFonts w:hint="default" w:asci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</w:rPr>
        <w:t>二是建立应急处置机制。2017年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6</w:t>
      </w:r>
      <w:r>
        <w:rPr>
          <w:rFonts w:hint="eastAsia" w:ascii="仿宋_GB2312" w:eastAsia="仿宋_GB2312"/>
          <w:color w:val="auto"/>
          <w:sz w:val="32"/>
        </w:rPr>
        <w:t>月份，我</w:t>
      </w:r>
      <w:r>
        <w:rPr>
          <w:rFonts w:hint="eastAsia" w:ascii="仿宋_GB2312" w:eastAsia="仿宋_GB2312"/>
          <w:color w:val="auto"/>
          <w:sz w:val="32"/>
          <w:lang w:eastAsia="zh-CN"/>
        </w:rPr>
        <w:t>县</w:t>
      </w:r>
      <w:r>
        <w:rPr>
          <w:rFonts w:hint="eastAsia" w:ascii="仿宋_GB2312" w:eastAsia="仿宋_GB2312"/>
          <w:color w:val="auto"/>
          <w:sz w:val="32"/>
        </w:rPr>
        <w:t>印发了《</w:t>
      </w:r>
      <w:r>
        <w:rPr>
          <w:rFonts w:hint="eastAsia" w:ascii="仿宋_GB2312" w:eastAsia="仿宋_GB2312"/>
          <w:color w:val="auto"/>
          <w:sz w:val="32"/>
          <w:lang w:eastAsia="zh-CN"/>
        </w:rPr>
        <w:t>平顺县</w:t>
      </w:r>
      <w:r>
        <w:rPr>
          <w:rFonts w:hint="eastAsia" w:ascii="仿宋_GB2312" w:eastAsia="仿宋_GB2312"/>
          <w:color w:val="auto"/>
          <w:sz w:val="32"/>
        </w:rPr>
        <w:t>人民政府办公</w:t>
      </w:r>
      <w:r>
        <w:rPr>
          <w:rFonts w:hint="eastAsia" w:ascii="仿宋_GB2312" w:eastAsia="仿宋_GB2312"/>
          <w:color w:val="auto"/>
          <w:sz w:val="32"/>
          <w:lang w:eastAsia="zh-CN"/>
        </w:rPr>
        <w:t>室</w:t>
      </w:r>
      <w:r>
        <w:rPr>
          <w:rFonts w:hint="eastAsia" w:ascii="仿宋_GB2312" w:eastAsia="仿宋_GB2312"/>
          <w:color w:val="auto"/>
          <w:sz w:val="32"/>
        </w:rPr>
        <w:t>关于成立</w:t>
      </w:r>
      <w:r>
        <w:rPr>
          <w:rFonts w:hint="eastAsia" w:ascii="仿宋_GB2312" w:eastAsia="仿宋_GB2312"/>
          <w:color w:val="auto"/>
          <w:sz w:val="32"/>
          <w:lang w:eastAsia="zh-CN"/>
        </w:rPr>
        <w:t>平顺县</w:t>
      </w:r>
      <w:r>
        <w:rPr>
          <w:rFonts w:hint="eastAsia" w:ascii="仿宋_GB2312" w:eastAsia="仿宋_GB2312"/>
          <w:color w:val="auto"/>
          <w:sz w:val="32"/>
        </w:rPr>
        <w:t>政府性债务管理领导小组的通知》（</w:t>
      </w:r>
      <w:r>
        <w:rPr>
          <w:rFonts w:hint="eastAsia" w:ascii="仿宋_GB2312" w:eastAsia="仿宋_GB2312"/>
          <w:color w:val="auto"/>
          <w:sz w:val="32"/>
          <w:lang w:eastAsia="zh-CN"/>
        </w:rPr>
        <w:t>平</w:t>
      </w:r>
      <w:r>
        <w:rPr>
          <w:rFonts w:hint="eastAsia" w:ascii="仿宋_GB2312" w:eastAsia="仿宋_GB2312"/>
          <w:color w:val="auto"/>
          <w:sz w:val="32"/>
        </w:rPr>
        <w:t>政办函[2017]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21</w:t>
      </w:r>
      <w:r>
        <w:rPr>
          <w:rFonts w:hint="eastAsia" w:ascii="仿宋_GB2312" w:eastAsia="仿宋_GB2312"/>
          <w:color w:val="auto"/>
          <w:sz w:val="32"/>
        </w:rPr>
        <w:t>号），成立了以</w:t>
      </w:r>
      <w:r>
        <w:rPr>
          <w:rFonts w:hint="eastAsia" w:ascii="仿宋_GB2312" w:eastAsia="仿宋_GB2312"/>
          <w:color w:val="auto"/>
          <w:sz w:val="32"/>
          <w:lang w:eastAsia="zh-CN"/>
        </w:rPr>
        <w:t>县</w:t>
      </w:r>
      <w:r>
        <w:rPr>
          <w:rFonts w:hint="eastAsia" w:ascii="仿宋_GB2312" w:eastAsia="仿宋_GB2312"/>
          <w:color w:val="auto"/>
          <w:sz w:val="32"/>
        </w:rPr>
        <w:t>长为组长的</w:t>
      </w:r>
      <w:r>
        <w:rPr>
          <w:rFonts w:hint="eastAsia" w:ascii="仿宋_GB2312" w:eastAsia="仿宋_GB2312"/>
          <w:color w:val="auto"/>
          <w:sz w:val="32"/>
          <w:lang w:eastAsia="zh-CN"/>
        </w:rPr>
        <w:t>县</w:t>
      </w:r>
      <w:r>
        <w:rPr>
          <w:rFonts w:hint="eastAsia" w:ascii="仿宋_GB2312" w:eastAsia="仿宋_GB2312"/>
          <w:color w:val="auto"/>
          <w:sz w:val="32"/>
        </w:rPr>
        <w:t>政府性债务管理领导小组，明确了债务管理领导小组的组成和债务管理领导小组主要职责。12月份，印发了《</w:t>
      </w:r>
      <w:r>
        <w:rPr>
          <w:rFonts w:hint="eastAsia" w:ascii="仿宋_GB2312" w:eastAsia="仿宋_GB2312"/>
          <w:color w:val="auto"/>
          <w:sz w:val="32"/>
          <w:lang w:eastAsia="zh-CN"/>
        </w:rPr>
        <w:t>平顺县地方</w:t>
      </w:r>
      <w:r>
        <w:rPr>
          <w:rFonts w:hint="eastAsia" w:ascii="仿宋_GB2312" w:eastAsia="仿宋_GB2312"/>
          <w:color w:val="auto"/>
          <w:sz w:val="32"/>
        </w:rPr>
        <w:t>政府性债务风险应急处置预案》（</w:t>
      </w:r>
      <w:r>
        <w:rPr>
          <w:rFonts w:hint="eastAsia" w:ascii="仿宋_GB2312" w:eastAsia="仿宋_GB2312"/>
          <w:color w:val="auto"/>
          <w:sz w:val="32"/>
          <w:lang w:eastAsia="zh-CN"/>
        </w:rPr>
        <w:t>平</w:t>
      </w:r>
      <w:r>
        <w:rPr>
          <w:rFonts w:hint="eastAsia" w:ascii="仿宋_GB2312" w:eastAsia="仿宋_GB2312"/>
          <w:color w:val="auto"/>
          <w:sz w:val="32"/>
        </w:rPr>
        <w:t>政办发[2017]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82</w:t>
      </w:r>
      <w:r>
        <w:rPr>
          <w:rFonts w:hint="eastAsia" w:ascii="仿宋_GB2312" w:eastAsia="仿宋_GB2312"/>
          <w:color w:val="auto"/>
          <w:sz w:val="32"/>
        </w:rPr>
        <w:t>号），积极防范和化解财政金融风险，确保不发生区域性系统性风险。</w:t>
      </w:r>
    </w:p>
    <w:p>
      <w:pPr>
        <w:spacing w:beforeLines="0" w:afterLines="0"/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zh-CN" w:eastAsia="zh-CN"/>
        </w:rPr>
      </w:pPr>
      <w:r>
        <w:rPr>
          <w:rFonts w:hint="eastAsia" w:ascii="仿宋_GB2312" w:eastAsia="仿宋_GB2312"/>
          <w:color w:val="auto"/>
          <w:sz w:val="32"/>
        </w:rPr>
        <w:t>三是坚决制止违法举债。贯彻落实中央</w:t>
      </w:r>
      <w:r>
        <w:rPr>
          <w:rFonts w:hint="eastAsia" w:ascii="仿宋_GB2312" w:eastAsia="仿宋_GB2312"/>
          <w:color w:val="auto"/>
          <w:sz w:val="32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</w:rPr>
        <w:t>省委、省政府</w:t>
      </w:r>
      <w:r>
        <w:rPr>
          <w:rFonts w:hint="eastAsia" w:ascii="仿宋_GB2312" w:eastAsia="仿宋_GB2312"/>
          <w:color w:val="auto"/>
          <w:sz w:val="32"/>
          <w:lang w:eastAsia="zh-CN"/>
        </w:rPr>
        <w:t>和市委、市政府</w:t>
      </w:r>
      <w:r>
        <w:rPr>
          <w:rFonts w:hint="eastAsia" w:ascii="仿宋_GB2312" w:eastAsia="仿宋_GB2312"/>
          <w:color w:val="auto"/>
          <w:sz w:val="32"/>
        </w:rPr>
        <w:t>坚决禁止政府违法违规融资的工作部署，积极配合省财政厅</w:t>
      </w:r>
      <w:r>
        <w:rPr>
          <w:rFonts w:hint="eastAsia" w:ascii="仿宋_GB2312" w:eastAsia="仿宋_GB2312"/>
          <w:color w:val="auto"/>
          <w:sz w:val="32"/>
          <w:lang w:eastAsia="zh-CN"/>
        </w:rPr>
        <w:t>和市财政局</w:t>
      </w:r>
      <w:r>
        <w:rPr>
          <w:rFonts w:hint="eastAsia" w:ascii="仿宋_GB2312" w:eastAsia="仿宋_GB2312"/>
          <w:color w:val="auto"/>
          <w:sz w:val="32"/>
        </w:rPr>
        <w:t>在全</w:t>
      </w:r>
      <w:r>
        <w:rPr>
          <w:rFonts w:hint="eastAsia" w:ascii="仿宋_GB2312" w:eastAsia="仿宋_GB2312"/>
          <w:color w:val="auto"/>
          <w:sz w:val="32"/>
          <w:lang w:eastAsia="zh-CN"/>
        </w:rPr>
        <w:t>县</w:t>
      </w:r>
      <w:r>
        <w:rPr>
          <w:rFonts w:hint="eastAsia" w:ascii="仿宋_GB2312" w:eastAsia="仿宋_GB2312"/>
          <w:color w:val="auto"/>
          <w:sz w:val="32"/>
        </w:rPr>
        <w:t>范围内组织开展了政府违法违规举债、违规实施购买服务等变相举债排查整改工作，确保排查整改工作不留死角、落到实处。</w:t>
      </w:r>
    </w:p>
    <w:p>
      <w:pPr>
        <w:numPr>
          <w:ilvl w:val="0"/>
          <w:numId w:val="1"/>
        </w:numPr>
        <w:ind w:firstLine="42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预算绩效开展情况说明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预算绩效管理工作以党的十九大精神为指引</w:t>
      </w:r>
      <w:r>
        <w:rPr>
          <w:rFonts w:ascii="仿宋" w:hAnsi="仿宋" w:eastAsia="仿宋"/>
          <w:sz w:val="32"/>
          <w:szCs w:val="32"/>
        </w:rPr>
        <w:t>,</w:t>
      </w:r>
      <w:r>
        <w:rPr>
          <w:rFonts w:hint="eastAsia" w:ascii="仿宋" w:hAnsi="仿宋" w:eastAsia="仿宋"/>
          <w:sz w:val="32"/>
          <w:szCs w:val="32"/>
        </w:rPr>
        <w:t>以制度建设为基础</w:t>
      </w:r>
      <w:r>
        <w:rPr>
          <w:rFonts w:ascii="仿宋" w:hAnsi="仿宋" w:eastAsia="仿宋"/>
          <w:sz w:val="32"/>
          <w:szCs w:val="32"/>
        </w:rPr>
        <w:t>,</w:t>
      </w:r>
      <w:r>
        <w:rPr>
          <w:rFonts w:hint="eastAsia" w:ascii="仿宋" w:hAnsi="仿宋" w:eastAsia="仿宋"/>
          <w:sz w:val="32"/>
          <w:szCs w:val="32"/>
        </w:rPr>
        <w:t>以信息化建设为手段</w:t>
      </w:r>
      <w:r>
        <w:rPr>
          <w:rFonts w:ascii="仿宋" w:hAnsi="仿宋" w:eastAsia="仿宋"/>
          <w:sz w:val="32"/>
          <w:szCs w:val="32"/>
        </w:rPr>
        <w:t>,</w:t>
      </w:r>
      <w:r>
        <w:rPr>
          <w:rFonts w:hint="eastAsia" w:ascii="仿宋" w:hAnsi="仿宋" w:eastAsia="仿宋"/>
          <w:sz w:val="32"/>
          <w:szCs w:val="32"/>
        </w:rPr>
        <w:t>以绩效目标管理为重点</w:t>
      </w:r>
      <w:r>
        <w:rPr>
          <w:rFonts w:ascii="仿宋" w:hAnsi="仿宋" w:eastAsia="仿宋"/>
          <w:sz w:val="32"/>
          <w:szCs w:val="32"/>
        </w:rPr>
        <w:t>,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强化支出责任和效率意识，突出结果导向，推进绩效管理与预算管理全过程有机融合，不断绩效管理的针对性和有效性，推动我县预算绩效管理工作不断迈上新台阶。具体工作汇报如下：</w:t>
      </w:r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</w:pPr>
      <w:r>
        <w:rPr>
          <w:rStyle w:val="9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深化绩效目标管理，推进分类管理和业务融合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绩效目标管理是建立全过程预算绩效管理体系的第一步</w:t>
      </w:r>
      <w:r>
        <w:rPr>
          <w:rFonts w:ascii="仿宋" w:hAnsi="仿宋" w:eastAsia="仿宋"/>
          <w:sz w:val="32"/>
          <w:szCs w:val="32"/>
        </w:rPr>
        <w:t>,</w:t>
      </w:r>
      <w:r>
        <w:rPr>
          <w:rFonts w:hint="eastAsia" w:ascii="仿宋" w:hAnsi="仿宋" w:eastAsia="仿宋"/>
          <w:sz w:val="32"/>
          <w:szCs w:val="32"/>
        </w:rPr>
        <w:t>也是最重要的一步</w:t>
      </w:r>
      <w:r>
        <w:rPr>
          <w:rFonts w:ascii="仿宋" w:hAnsi="仿宋" w:eastAsia="仿宋"/>
          <w:sz w:val="32"/>
          <w:szCs w:val="32"/>
        </w:rPr>
        <w:t>,</w:t>
      </w:r>
      <w:r>
        <w:rPr>
          <w:rFonts w:hint="eastAsia" w:ascii="仿宋" w:hAnsi="仿宋" w:eastAsia="仿宋"/>
          <w:sz w:val="32"/>
          <w:szCs w:val="32"/>
        </w:rPr>
        <w:t>其主要任务是</w:t>
      </w:r>
      <w:r>
        <w:rPr>
          <w:rFonts w:ascii="仿宋" w:hAnsi="仿宋" w:eastAsia="仿宋"/>
          <w:sz w:val="32"/>
          <w:szCs w:val="32"/>
        </w:rPr>
        <w:t>,</w:t>
      </w:r>
      <w:r>
        <w:rPr>
          <w:rFonts w:hint="eastAsia" w:ascii="仿宋" w:hAnsi="仿宋" w:eastAsia="仿宋"/>
          <w:sz w:val="32"/>
          <w:szCs w:val="32"/>
        </w:rPr>
        <w:t>将预算单位的使命和战略目标转换为明确的、具体的、可衡量的绩效目标。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具体措施如下：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</w:rPr>
        <w:t>一是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推进绩效目标管理与部门预算编审融合，积极推动建立以绩效目标为先导的预算编制模式，使绩效目标成为预算申报和审核的必要前提。</w:t>
      </w:r>
      <w:r>
        <w:rPr>
          <w:rFonts w:hint="eastAsia" w:ascii="仿宋" w:hAnsi="仿宋" w:eastAsia="仿宋"/>
          <w:sz w:val="32"/>
          <w:szCs w:val="32"/>
        </w:rPr>
        <w:t>二是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建立绩效目标审核机制，简化和完善绩效目标申报内容，进一步提高绩效目标管理的针对性和有效性。</w:t>
      </w:r>
      <w:r>
        <w:rPr>
          <w:rFonts w:hint="eastAsia" w:ascii="仿宋" w:hAnsi="仿宋" w:eastAsia="仿宋" w:cs="仿宋"/>
          <w:sz w:val="32"/>
          <w:szCs w:val="32"/>
        </w:rPr>
        <w:t>要求业务股室从绩效目标模板填写、系统录入、项目审核等各个环节严格把关、从严审核，确保项目绩效指标的完整性、准确性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三是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预算绩效信息系统和扶贫监控平台有机结合</w:t>
      </w:r>
      <w:r>
        <w:rPr>
          <w:rFonts w:hint="eastAsia" w:ascii="仿宋" w:hAnsi="仿宋" w:eastAsia="仿宋" w:cs="仿宋"/>
          <w:sz w:val="32"/>
          <w:szCs w:val="32"/>
        </w:rPr>
        <w:t>。针对扶贫资金项目资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金量大，项目多、任务重等特点，我们以预算信息系统为依托，完善扶贫资金监控平台信息，使扶贫资金绩效目标的编报更准确，可执行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。四</w:t>
      </w:r>
      <w:r>
        <w:rPr>
          <w:rFonts w:hint="eastAsia" w:ascii="仿宋" w:hAnsi="仿宋" w:eastAsia="仿宋" w:cs="仿宋"/>
          <w:sz w:val="32"/>
          <w:szCs w:val="32"/>
        </w:rPr>
        <w:t>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更新</w:t>
      </w:r>
      <w:r>
        <w:rPr>
          <w:rFonts w:hint="eastAsia" w:ascii="仿宋" w:hAnsi="仿宋" w:eastAsia="仿宋" w:cs="仿宋"/>
          <w:sz w:val="32"/>
          <w:szCs w:val="32"/>
        </w:rPr>
        <w:t>预算绩效信息化系统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采用和</w:t>
      </w:r>
      <w:r>
        <w:rPr>
          <w:rFonts w:hint="eastAsia" w:ascii="仿宋" w:hAnsi="仿宋" w:eastAsia="仿宋" w:cs="仿宋"/>
          <w:sz w:val="32"/>
          <w:szCs w:val="32"/>
        </w:rPr>
        <w:t>财政支付一体化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共用VIP，提升预算绩效信息系统使用效率，节约单位办事成本。</w:t>
      </w:r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/>
        </w:rPr>
      </w:pPr>
      <w:r>
        <w:rPr>
          <w:rStyle w:val="9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2、强化绩效评价工作，着力完成预算绩效管理目标任务。</w:t>
      </w:r>
      <w:r>
        <w:rPr>
          <w:rStyle w:val="9"/>
          <w:rFonts w:hint="eastAsia" w:ascii="仿宋" w:hAnsi="仿宋" w:eastAsia="仿宋" w:cs="仿宋"/>
          <w:b w:val="0"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一是加大绩效评价工作力度，不断扩大绩效评价重点和领域。二是完善预算绩效评价个性指标体系。通过汇总、梳理、归纳以前重点评价项目和扶贫项目个性指标，完善绩效评价指标体系。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Style w:val="9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Style w:val="9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、</w:t>
      </w:r>
      <w:r>
        <w:rPr>
          <w:rStyle w:val="9"/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推进绩效跟踪管理，完善全过程预算绩效管理机制。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运用信息化手段，落实预算执行中绩效目标跟踪监控管理，推进绩效跟踪与绩效目标管理和评价的有机衔接，逐步形成完整的绩效管理体系，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以不断提高财政资金运行效率，防范财政资金运行风险。</w:t>
      </w:r>
    </w:p>
    <w:p>
      <w:pPr>
        <w:spacing w:beforeLines="0" w:afterLines="0"/>
        <w:ind w:firstLine="636" w:firstLineChars="198"/>
        <w:rPr>
          <w:rFonts w:hint="default" w:ascii="仿宋_GB2312" w:hAnsi="仿宋" w:eastAsia="仿宋_GB2312"/>
          <w:color w:val="auto"/>
          <w:kern w:val="0"/>
          <w:sz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4、着力完善专家评审机制。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针对中介机构评价服务质量水平差次不齐、评价报告可执行程度不高等相关问题，通过资源共享机制聘请相关专家，抽取部分绩效评价报告进行重点评审，纳入考核，成为付费依据。</w:t>
      </w:r>
    </w:p>
    <w:p>
      <w:pPr>
        <w:rPr>
          <w:rFonts w:hint="eastAsia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D5D32C8-2ED9-4756-9177-38C283CAF43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45FDD7FB-9A2E-4619-9C87-BD030114280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EEEE342B-5461-441E-8696-B4D49BD968D1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CF64738D-5B23-4CEC-848D-B3AB1C2EBCB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2BCBFBA-9CC5-4A62-9BCE-3FCB00BAEEF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DF1D6D"/>
    <w:multiLevelType w:val="singleLevel"/>
    <w:tmpl w:val="58DF1D6D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3NzVjMzcxYTVkZmRmZmYyN2FhN2NlMzQ2OGY2YzkifQ=="/>
  </w:docVars>
  <w:rsids>
    <w:rsidRoot w:val="56DC3F96"/>
    <w:rsid w:val="059E57C7"/>
    <w:rsid w:val="0EDD5395"/>
    <w:rsid w:val="126C1900"/>
    <w:rsid w:val="183D143A"/>
    <w:rsid w:val="1C4A115C"/>
    <w:rsid w:val="1F9B318C"/>
    <w:rsid w:val="21D43DDB"/>
    <w:rsid w:val="22D951A6"/>
    <w:rsid w:val="26623675"/>
    <w:rsid w:val="270F3FDF"/>
    <w:rsid w:val="2B4E30C6"/>
    <w:rsid w:val="2B99651C"/>
    <w:rsid w:val="2D706221"/>
    <w:rsid w:val="2EEA0ED1"/>
    <w:rsid w:val="30264B34"/>
    <w:rsid w:val="30936173"/>
    <w:rsid w:val="32FF6A46"/>
    <w:rsid w:val="379836AD"/>
    <w:rsid w:val="3A9F6163"/>
    <w:rsid w:val="3D8A59FB"/>
    <w:rsid w:val="466057C1"/>
    <w:rsid w:val="4B5551FE"/>
    <w:rsid w:val="4D570E5F"/>
    <w:rsid w:val="4DB91131"/>
    <w:rsid w:val="4E201790"/>
    <w:rsid w:val="5365064D"/>
    <w:rsid w:val="544528C5"/>
    <w:rsid w:val="557553AC"/>
    <w:rsid w:val="56DC3F96"/>
    <w:rsid w:val="58315EFD"/>
    <w:rsid w:val="5A5113BD"/>
    <w:rsid w:val="5A882551"/>
    <w:rsid w:val="5DBE37AD"/>
    <w:rsid w:val="5EBF17F9"/>
    <w:rsid w:val="63DC0640"/>
    <w:rsid w:val="645D51E7"/>
    <w:rsid w:val="65686B47"/>
    <w:rsid w:val="6AD364FE"/>
    <w:rsid w:val="6B7A44E5"/>
    <w:rsid w:val="6D5259E7"/>
    <w:rsid w:val="71F81C33"/>
    <w:rsid w:val="72D7223C"/>
    <w:rsid w:val="75E36093"/>
    <w:rsid w:val="79B9472C"/>
    <w:rsid w:val="7AB0675E"/>
    <w:rsid w:val="7AD068E0"/>
    <w:rsid w:val="7D863E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page number"/>
    <w:basedOn w:val="8"/>
    <w:qFormat/>
    <w:uiPriority w:val="0"/>
  </w:style>
  <w:style w:type="paragraph" w:customStyle="1" w:styleId="11">
    <w:name w:val="闻政正文"/>
    <w:basedOn w:val="1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1976</Words>
  <Characters>2044</Characters>
  <Lines>0</Lines>
  <Paragraphs>0</Paragraphs>
  <TotalTime>32</TotalTime>
  <ScaleCrop>false</ScaleCrop>
  <LinksUpToDate>false</LinksUpToDate>
  <CharactersWithSpaces>2051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2017-04-01T03:15:00Z</dcterms:created>
  <dc:creator>null,null,预算公开</dc:creator>
  <cp:lastModifiedBy>申甜</cp:lastModifiedBy>
  <dcterms:modified xsi:type="dcterms:W3CDTF">2024-08-01T01:01:26Z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FC1DE4F0D4D74A13B5EF281D5A9E23AD_12</vt:lpwstr>
  </property>
</Properties>
</file>